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trunking-e-inter-vlan-inicial"/>
    <w:p>
      <w:pPr>
        <w:pStyle w:val="Heading1"/>
      </w:pPr>
      <w:r>
        <w:t xml:space="preserve">Boletín de Trunking e inter-VLAN — Inicial</w:t>
      </w:r>
    </w:p>
    <w:bookmarkEnd w:id="9"/>
    <w:bookmarkStart w:id="18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</w:pPr>
            <w:r>
              <w:t xml:space="preserve">d) Sin etiquetar en el trunk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</w:pPr>
            <w:r>
              <w:t xml:space="preserve">d) Configurar subinterfaz para VLAN 10</w:t>
            </w:r>
          </w:p>
        </w:tc>
      </w:tr>
    </w:tbl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2026-09-28T07:31:23Z</dcterms:created>
  <dcterms:modified xsi:type="dcterms:W3CDTF">2026-09-28T07:31:23Z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