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inicial"/>
    <w:p>
      <w:pPr>
        <w:pStyle w:val="Heading1"/>
      </w:pPr>
      <w:r>
        <w:t xml:space="preserve">Boletín de ACL y seguridad — Inicial</w:t>
      </w:r>
    </w:p>
    <w:bookmarkEnd w:id="9"/>
    <w:bookmarkStart w:id="18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10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10"/>
    <w:bookmarkStart w:id="11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d) Crear ACL numerada estándar</w:t>
            </w:r>
          </w:p>
        </w:tc>
      </w:tr>
    </w:tbl>
    <w:bookmarkEnd w:id="12"/>
    <w:bookmarkStart w:id="13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14"/>
    <w:bookmarkStart w:id="15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15"/>
    <w:bookmarkStart w:id="16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16"/>
    <w:bookmarkStart w:id="17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</w:pPr>
            <w:r>
              <w:t xml:space="preserve">c) Ver las líneas exactas de la ACL tal como se configuraron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2026-09-28T07:31:29Z</dcterms:created>
  <dcterms:modified xsi:type="dcterms:W3CDTF">2026-09-28T07:31:29Z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