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-resuelto"/>
    <w:p>
      <w:pPr>
        <w:pStyle w:val="Heading1"/>
      </w:pPr>
      <w:r>
        <w:t xml:space="preserve">Boletín de OSPF — Inicial (Resuelto)</w:t>
      </w:r>
    </w:p>
    <w:bookmarkEnd w:id="9"/>
    <w:bookmarkStart w:id="18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es el proceso por el que todos los routers llegan a una visión coherente de la red tras un cambio (enlace caído, red nueva…). El dinámico la consigue solo: OSPF detecta el cambio, inunda los LSAs y recalcula; en el estático, cada cambio hay que detectarlo y reconfigurarlo a mano, router por router.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2026-09-27T12:55:11Z</dcterms:created>
  <dcterms:modified xsi:type="dcterms:W3CDTF">2026-09-27T12:55:11Z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