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direccionamiento-ip-inicial"/>
    <w:p>
      <w:pPr>
        <w:pStyle w:val="Heading1"/>
      </w:pPr>
      <w:r>
        <w:t xml:space="preserve">Boletín de Direccionamiento IP — Inicial</w:t>
      </w:r>
    </w:p>
    <w:bookmarkEnd w:id="20"/>
    <w:bookmarkStart w:id="32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21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21"/>
    <w:bookmarkStart w:id="22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22"/>
    <w:bookmarkStart w:id="23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255.0.0.0</w:t>
            </w:r>
          </w:p>
        </w:tc>
      </w:tr>
    </w:tbl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24"/>
    <w:bookmarkStart w:id="25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25"/>
    <w:bookmarkStart w:id="26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26"/>
    <w:bookmarkStart w:id="27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</w:t>
      </w:r>
      <w:r>
        <w:t xml:space="preserve">mágico</w:t>
      </w:r>
      <w:r>
        <w:t xml:space="preserve">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27"/>
    <w:bookmarkStart w:id="28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28"/>
    <w:bookmarkStart w:id="29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29"/>
    <w:bookmarkStart w:id="30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30"/>
    <w:bookmarkStart w:id="31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2026-10-13T11:26:23Z</dcterms:created>
  <dcterms:modified xsi:type="dcterms:W3CDTF">2026-10-13T11:26:23Z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