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6c108b0c7c586aae83adb1edfb40afd87714c2"/>
    <w:p>
      <w:pPr>
        <w:pStyle w:val="Heading1"/>
      </w:pPr>
      <w:r>
        <w:t xml:space="preserve">Boletín de Servicios de red — Packet Tracer</w:t>
      </w:r>
    </w:p>
    <w:bookmarkEnd w:id="20"/>
    <w:bookmarkStart w:id="32"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21"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21"/>
    <w:bookmarkStart w:id="22"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w:t>
      </w:r>
      <w:r>
        <w:t xml:space="preserve">buena</w:t>
      </w:r>
      <w:r>
        <w:t xml:space="preserve">”</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22"/>
    <w:bookmarkStart w:id="23"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23"/>
    <w:bookmarkStart w:id="24"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24"/>
    <w:bookmarkStart w:id="25"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25"/>
    <w:bookmarkStart w:id="26"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26"/>
    <w:bookmarkStart w:id="27"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27"/>
    <w:bookmarkStart w:id="28"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28"/>
    <w:bookmarkStart w:id="31" w:name="criterios-de-esta-práctica"/>
    <w:p>
      <w:pPr>
        <w:pStyle w:val="Heading2"/>
      </w:pPr>
      <w:r>
        <w:t xml:space="preserve">📋 Criterios de esta práctica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Ejercicio</w:t>
            </w:r>
          </w:p>
        </w:tc>
        <w:tc>
          <w:tcPr/>
          <w:p>
            <w:pPr>
              <w:pStyle w:val="Compact"/>
              <w:jc w:val="left"/>
            </w:pPr>
            <w:r>
              <w:t xml:space="preserve">Concepto</w:t>
            </w:r>
          </w:p>
        </w:tc>
        <w:tc>
          <w:tcPr/>
          <w:p>
            <w:pPr>
              <w:pStyle w:val="Compact"/>
              <w:jc w:val="left"/>
            </w:pPr>
            <w:r>
              <w:t xml:space="preserve">Punto</w:t>
            </w:r>
          </w:p>
        </w:tc>
      </w:tr>
      <w:tr>
        <w:tc>
          <w:tcPr/>
          <w:p>
            <w:pPr>
              <w:pStyle w:val="Compact"/>
              <w:jc w:val="left"/>
            </w:pPr>
            <w:r>
              <w:t xml:space="preserve">1</w:t>
            </w:r>
          </w:p>
        </w:tc>
        <w:tc>
          <w:tcPr/>
          <w:p>
            <w:pPr>
              <w:pStyle w:val="Compact"/>
              <w:jc w:val="left"/>
            </w:pPr>
            <w:r>
              <w:t xml:space="preserve">Pool DHCP, exclusiones, binding</w:t>
            </w:r>
          </w:p>
        </w:tc>
        <w:tc>
          <w:tcPr/>
          <w:p>
            <w:pPr>
              <w:pStyle w:val="Compact"/>
              <w:jc w:val="left"/>
            </w:pPr>
            <w:r>
              <w:t xml:space="preserve">2–3</w:t>
            </w:r>
          </w:p>
        </w:tc>
      </w:tr>
      <w:tr>
        <w:tc>
          <w:tcPr/>
          <w:p>
            <w:pPr>
              <w:pStyle w:val="Compact"/>
              <w:jc w:val="left"/>
            </w:pPr>
            <w:r>
              <w:t xml:space="preserve">2</w:t>
            </w:r>
          </w:p>
        </w:tc>
        <w:tc>
          <w:tcPr/>
          <w:p>
            <w:pPr>
              <w:pStyle w:val="Compact"/>
              <w:jc w:val="left"/>
            </w:pPr>
            <w:r>
              <w:t xml:space="preserve">default-router (fallo)</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Relay con ip helper-address</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Registros DNS en PT</w:t>
            </w:r>
          </w:p>
        </w:tc>
        <w:tc>
          <w:tcPr/>
          <w:p>
            <w:pPr>
              <w:pStyle w:val="Compact"/>
              <w:jc w:val="left"/>
            </w:pPr>
            <w:r>
              <w:t xml:space="preserve">4–5</w:t>
            </w:r>
          </w:p>
        </w:tc>
      </w:tr>
      <w:tr>
        <w:tc>
          <w:tcPr/>
          <w:p>
            <w:pPr>
              <w:pStyle w:val="Compact"/>
              <w:jc w:val="left"/>
            </w:pPr>
            <w:r>
              <w:t xml:space="preserve">5</w:t>
            </w:r>
          </w:p>
        </w:tc>
        <w:tc>
          <w:tcPr/>
          <w:p>
            <w:pPr>
              <w:pStyle w:val="Compact"/>
              <w:jc w:val="left"/>
            </w:pPr>
            <w:r>
              <w:t xml:space="preserve">Diagnóstico DNS con nslookup (fallo)</w:t>
            </w:r>
          </w:p>
        </w:tc>
        <w:tc>
          <w:tcPr/>
          <w:p>
            <w:pPr>
              <w:pStyle w:val="Compact"/>
              <w:jc w:val="left"/>
            </w:pPr>
            <w:r>
              <w:t xml:space="preserve">5, 8</w:t>
            </w:r>
          </w:p>
        </w:tc>
      </w:tr>
      <w:tr>
        <w:tc>
          <w:tcPr/>
          <w:p>
            <w:pPr>
              <w:pStyle w:val="Compact"/>
              <w:jc w:val="left"/>
            </w:pPr>
            <w:r>
              <w:t xml:space="preserve">6</w:t>
            </w:r>
          </w:p>
        </w:tc>
        <w:tc>
          <w:tcPr/>
          <w:p>
            <w:pPr>
              <w:pStyle w:val="Compact"/>
              <w:jc w:val="left"/>
            </w:pPr>
            <w:r>
              <w:t xml:space="preserve">Jerarquía NTP en IOS</w:t>
            </w:r>
          </w:p>
        </w:tc>
        <w:tc>
          <w:tcPr/>
          <w:p>
            <w:pPr>
              <w:pStyle w:val="Compact"/>
              <w:jc w:val="left"/>
            </w:pPr>
            <w:r>
              <w:t xml:space="preserve">6–7</w:t>
            </w:r>
          </w:p>
        </w:tc>
      </w:tr>
      <w:tr>
        <w:tc>
          <w:tcPr/>
          <w:p>
            <w:pPr>
              <w:pStyle w:val="Compact"/>
              <w:jc w:val="left"/>
            </w:pPr>
            <w:r>
              <w:t xml:space="preserve">7</w:t>
            </w:r>
          </w:p>
        </w:tc>
        <w:tc>
          <w:tcPr/>
          <w:p>
            <w:pPr>
              <w:pStyle w:val="Compact"/>
              <w:jc w:val="left"/>
            </w:pPr>
            <w:r>
              <w:t xml:space="preserve">Hora desajustada (fallo)</w:t>
            </w:r>
          </w:p>
        </w:tc>
        <w:tc>
          <w:tcPr/>
          <w:p>
            <w:pPr>
              <w:pStyle w:val="Compact"/>
              <w:jc w:val="left"/>
            </w:pPr>
            <w:r>
              <w:t xml:space="preserve">6–7</w:t>
            </w:r>
          </w:p>
        </w:tc>
      </w:tr>
      <w:tr>
        <w:tc>
          <w:tcPr/>
          <w:p>
            <w:pPr>
              <w:pStyle w:val="Compact"/>
              <w:jc w:val="left"/>
            </w:pPr>
            <w:r>
              <w:t xml:space="preserve">8</w:t>
            </w:r>
          </w:p>
        </w:tc>
        <w:tc>
          <w:tcPr/>
          <w:p>
            <w:pPr>
              <w:pStyle w:val="Compact"/>
              <w:jc w:val="left"/>
            </w:pPr>
            <w:r>
              <w:t xml:space="preserve">Escalera del servicio</w:t>
            </w:r>
          </w:p>
        </w:tc>
        <w:tc>
          <w:tcPr/>
          <w:p>
            <w:pPr>
              <w:pStyle w:val="Compact"/>
              <w:jc w:val="left"/>
            </w:pPr>
            <w:r>
              <w:t xml:space="preserve">8</w:t>
            </w:r>
          </w:p>
        </w:tc>
      </w:tr>
    </w:tbl>
    <w:p>
      <w:r>
        <w:pict>
          <v:rect style="width:0;height:1.5pt" o:hralign="center" o:hrstd="t" o:hr="t"/>
        </w:pict>
      </w:r>
    </w:p>
    <w:p>
      <w:pPr>
        <w:pStyle w:val="FirstParagraph"/>
      </w:pPr>
      <w:r>
        <w:t xml:space="preserve">📚</w:t>
      </w:r>
      <w:r>
        <w:t xml:space="preserve"> </w:t>
      </w:r>
      <w:hyperlink r:id="rId29">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30">
        <w:r>
          <w:rPr>
            <w:rStyle w:val="Hyperlink"/>
          </w:rPr>
          <w:t xml:space="preserve">Resuelto</w:t>
        </w:r>
      </w:hyperlink>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2026-10-13T11:26:29Z</dcterms:created>
  <dcterms:modified xsi:type="dcterms:W3CDTF">2026-10-13T11:26:29Z</dcterms:modified>
</cp:coreProperties>
</file>

<file path=docProps/custom.xml><?xml version="1.0" encoding="utf-8"?>
<Properties xmlns="http://schemas.openxmlformats.org/officeDocument/2006/custom-properties" xmlns:vt="http://schemas.openxmlformats.org/officeDocument/2006/docPropsVTypes"/>
</file>