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ospf-inicial-resuelto"/>
    <w:p>
      <w:pPr>
        <w:pStyle w:val="Heading1"/>
      </w:pPr>
      <w:r>
        <w:t xml:space="preserve">Boletín de OSPF — Inicial (Resuelto)</w:t>
      </w:r>
    </w:p>
    <w:bookmarkEnd w:id="20"/>
    <w:bookmarkStart w:id="29" w:name="boletín-de-ospf-inicial-resuelto-1"/>
    <w:p>
      <w:pPr>
        <w:pStyle w:val="Heading1"/>
      </w:pPr>
      <w:r>
        <w:t xml:space="preserve">✅ Boletín de OSPF — Inicial (Resuelto)</w:t>
      </w:r>
    </w:p>
    <w:p>
      <w:r>
        <w:pict>
          <v:rect style="width:0;height:1.5pt" o:hralign="center" o:hrstd="t" o:hr="t"/>
        </w:pict>
      </w:r>
    </w:p>
    <w:bookmarkStart w:id="21" w:name="igp-vs-egp"/>
    <w:p>
      <w:pPr>
        <w:pStyle w:val="Heading2"/>
      </w:pPr>
      <w:r>
        <w:t xml:space="preserve">1. IGP vs EGP</w:t>
      </w:r>
    </w:p>
    <w:p>
      <w:pPr>
        <w:pStyle w:val="Compact"/>
        <w:numPr>
          <w:ilvl w:val="0"/>
          <w:numId w:val="1001"/>
        </w:numPr>
      </w:pPr>
      <w:r>
        <w:t xml:space="preserve">OSPF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BGP →</w:t>
      </w:r>
      <w:r>
        <w:t xml:space="preserve"> </w:t>
      </w:r>
      <w:r>
        <w:rPr>
          <w:b/>
          <w:bCs/>
        </w:rPr>
        <w:t xml:space="preserve">EGP</w:t>
      </w:r>
    </w:p>
    <w:p>
      <w:pPr>
        <w:pStyle w:val="Compact"/>
        <w:numPr>
          <w:ilvl w:val="0"/>
          <w:numId w:val="1001"/>
        </w:numPr>
      </w:pPr>
      <w:r>
        <w:t xml:space="preserve">RIP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EIGRP →</w:t>
      </w:r>
      <w:r>
        <w:t xml:space="preserve"> </w:t>
      </w:r>
      <w:r>
        <w:rPr>
          <w:b/>
          <w:bCs/>
        </w:rPr>
        <w:t xml:space="preserve">IGP</w:t>
      </w:r>
      <w:r>
        <w:t xml:space="preserve"> </w:t>
      </w:r>
      <w:r>
        <w:t xml:space="preserve">(propietario Cisco, pero interior)</w:t>
      </w:r>
    </w:p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OSPF usa SPF (Dijkstra) para calcular la ruta más corta.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RIP máximo 15 saltos. 16 = inalcanzable.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Todas las áreas deben conectarse al Área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Router ID debe ser único o las adyacencias fallan.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OSPF converge en segundos, RIP tarda minutos.</w:t>
      </w:r>
    </w:p>
    <w:bookmarkEnd w:id="22"/>
    <w:bookmarkStart w:id="23" w:name="relaciona"/>
    <w:p>
      <w:pPr>
        <w:pStyle w:val="Heading2"/>
      </w:pPr>
      <w:r>
        <w:t xml:space="preserve">3. Relaciona</w:t>
      </w:r>
    </w:p>
    <w:p>
      <w:pPr>
        <w:pStyle w:val="FirstParagraph"/>
      </w:pPr>
      <w:r>
        <w:t xml:space="preserve">1 → b (LSA = Link State Advertisement)</w:t>
      </w:r>
      <w:r>
        <w:t xml:space="preserve"> </w:t>
      </w:r>
      <w:r>
        <w:t xml:space="preserve">2 → c (LSDB = Link State Database)</w:t>
      </w:r>
      <w:r>
        <w:t xml:space="preserve"> </w:t>
      </w:r>
      <w:r>
        <w:t xml:space="preserve">3 → a (ABR = Area Border Router)</w:t>
      </w:r>
      <w:r>
        <w:t xml:space="preserve"> </w:t>
      </w:r>
      <w:r>
        <w:t xml:space="preserve">4 → d (SPF = Shortest Path First)</w:t>
      </w:r>
    </w:p>
    <w:bookmarkEnd w:id="23"/>
    <w:bookmarkStart w:id="24" w:name="coste-ospf"/>
    <w:p>
      <w:pPr>
        <w:pStyle w:val="Heading2"/>
      </w:pPr>
      <w:r>
        <w:t xml:space="preserve">4. Coste OSPF</w:t>
      </w:r>
    </w:p>
    <w:p>
      <w:pPr>
        <w:pStyle w:val="Compact"/>
        <w:numPr>
          <w:ilvl w:val="0"/>
          <w:numId w:val="1003"/>
        </w:numPr>
      </w:pPr>
      <w:r>
        <w:t xml:space="preserve">100 Mbps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(10⁸ / 100×10⁶ = 1)</w:t>
      </w:r>
    </w:p>
    <w:p>
      <w:pPr>
        <w:pStyle w:val="Compact"/>
        <w:numPr>
          <w:ilvl w:val="0"/>
          <w:numId w:val="1003"/>
        </w:numPr>
      </w:pPr>
      <w:r>
        <w:t xml:space="preserve">1 Gbps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(el coste mínimo es 1)</w:t>
      </w:r>
    </w:p>
    <w:p>
      <w:pPr>
        <w:pStyle w:val="Compact"/>
        <w:numPr>
          <w:ilvl w:val="0"/>
          <w:numId w:val="1003"/>
        </w:numPr>
      </w:pPr>
      <w:r>
        <w:t xml:space="preserve">1.544 Mbps →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(10⁸ / 1.544×10⁶ ≈ 64)</w:t>
      </w:r>
    </w:p>
    <w:bookmarkEnd w:id="24"/>
    <w:bookmarkStart w:id="25" w:name="completa"/>
    <w:p>
      <w:pPr>
        <w:pStyle w:val="Heading2"/>
      </w:pPr>
      <w:r>
        <w:t xml:space="preserve">5. Completa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ospf 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originate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neighbor</w:t>
      </w:r>
    </w:p>
    <w:bookmarkEnd w:id="25"/>
    <w:bookmarkStart w:id="26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1 → c (Internal Router: misma área)</w:t>
      </w:r>
      <w:r>
        <w:t xml:space="preserve"> </w:t>
      </w:r>
      <w:r>
        <w:t xml:space="preserve">2 → b (ABR: conecta áreas)</w:t>
      </w:r>
      <w:r>
        <w:t xml:space="preserve"> </w:t>
      </w:r>
      <w:r>
        <w:t xml:space="preserve">3 → a (ASBR: rutas externas)</w:t>
      </w:r>
    </w:p>
    <w:bookmarkEnd w:id="26"/>
    <w:bookmarkStart w:id="27" w:name="dinámico-vs-estático"/>
    <w:p>
      <w:pPr>
        <w:pStyle w:val="Heading2"/>
      </w:pPr>
      <w:r>
        <w:t xml:space="preserve">7. Dinámico vs estático</w:t>
      </w:r>
    </w:p>
    <w:p>
      <w:pPr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convergencia</w:t>
      </w:r>
      <w:r>
        <w:t xml:space="preserve"> </w:t>
      </w:r>
      <w:r>
        <w:t xml:space="preserve">es el proceso por el que todos los routers llegan a una visión coherente de la red tras un cambio (enlace caído, red nueva…). El dinámico la consigue solo: OSPF detecta el cambio, inunda los LSAs y recalcula; en el estático, cada cambio hay que detectarlo y reconfigurarlo a mano, router por router.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Ventajas del dinámico: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Autoaprendizaje:</w:t>
      </w:r>
      <w:r>
        <w:t xml:space="preserve"> </w:t>
      </w:r>
      <w:r>
        <w:t xml:space="preserve">las redes nuevas se comparten solas, sin ir router por router.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Convergencia automática:</w:t>
      </w:r>
      <w:r>
        <w:t xml:space="preserve"> </w:t>
      </w:r>
      <w:r>
        <w:t xml:space="preserve">si cae un enlace, la red recalcula y se reencamina sin intervención.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Menos error humano:</w:t>
      </w:r>
      <w:r>
        <w:t xml:space="preserve"> </w:t>
      </w:r>
      <w:r>
        <w:t xml:space="preserve">la tabla de rutas la calcula el protocolo, no un administrador tecleando.</w:t>
      </w:r>
    </w:p>
    <w:p>
      <w:pPr>
        <w:pStyle w:val="FirstParagraph"/>
      </w:pPr>
      <w:r>
        <w:rPr>
          <w:b/>
          <w:bCs/>
        </w:rPr>
        <w:t xml:space="preserve">Caso para estático:</w:t>
      </w:r>
      <w:r>
        <w:t xml:space="preserve"> </w:t>
      </w:r>
      <w:r>
        <w:t xml:space="preserve">redes muy pequeñas (2-3 routers), un enlace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con una única salida, o una ruta de respaldo a mano (</w:t>
      </w:r>
      <w:r>
        <w:rPr>
          <w:rStyle w:val="VerbatimChar"/>
        </w:rPr>
        <w:t xml:space="preserve">floating static</w:t>
      </w:r>
      <w:r>
        <w:t xml:space="preserve">): ahí el dinámico solo añadiría tráfico y complejidad.</w:t>
      </w:r>
    </w:p>
    <w:bookmarkEnd w:id="27"/>
    <w:bookmarkStart w:id="28" w:name="coste-ospf-tabla-de-velocidades"/>
    <w:p>
      <w:pPr>
        <w:pStyle w:val="Heading2"/>
      </w:pPr>
      <w:r>
        <w:t xml:space="preserve">8. Coste OSPF: tabla de velocidades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10⁹ = 0,1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(mínimo)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1.544.000 ≈ 64,8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</w:t>
            </w:r>
          </w:p>
        </w:tc>
      </w:tr>
    </w:tbl>
    <w:p>
      <w:pPr>
        <w:pStyle w:val="BlockText"/>
      </w:pPr>
      <w:r>
        <w:t xml:space="preserve">El coste mínimo es</w:t>
      </w:r>
      <w:r>
        <w:t xml:space="preserve"> </w:t>
      </w:r>
      <w:r>
        <w:rPr>
          <w:b/>
          <w:bCs/>
        </w:rPr>
        <w:t xml:space="preserve">1</w:t>
      </w:r>
      <w:r>
        <w:t xml:space="preserve">: todos los enlaces de 100 Mbps en adelante valen lo mismo por defecto, salvo que subas el</w:t>
      </w:r>
      <w:r>
        <w:t xml:space="preserve"> </w:t>
      </w:r>
      <w:r>
        <w:rPr>
          <w:rStyle w:val="VerbatimChar"/>
        </w:rPr>
        <w:t xml:space="preserve">auto-cost reference-bandwidth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2026-10-13T11:26:32Z</dcterms:created>
  <dcterms:modified xsi:type="dcterms:W3CDTF">2026-10-13T11:26:32Z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