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lta-disponibilidad-avanzado"/>
    <w:p>
      <w:pPr>
        <w:pStyle w:val="Heading1"/>
      </w:pPr>
      <w:r>
        <w:t xml:space="preserve">Boletín de Alta disponibilidad — Avanzado</w:t>
      </w:r>
    </w:p>
    <w:bookmarkEnd w:id="20"/>
    <w:bookmarkStart w:id="29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21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</w:t>
      </w:r>
      <w:r>
        <w:t xml:space="preserve">pool</w:t>
      </w:r>
      <w:r>
        <w:t xml:space="preserve">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21"/>
    <w:bookmarkStart w:id="22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22"/>
    <w:bookmarkStart w:id="23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23"/>
    <w:bookmarkStart w:id="24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</w:t>
      </w:r>
      <w:r>
        <w:t xml:space="preserve">para probar</w:t>
      </w:r>
      <w:r>
        <w:t xml:space="preserve">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24"/>
    <w:bookmarkStart w:id="25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25"/>
    <w:bookmarkStart w:id="26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26"/>
    <w:bookmarkStart w:id="27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27"/>
    <w:bookmarkStart w:id="28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2026-10-13T11:26:36Z</dcterms:created>
  <dcterms:modified xsi:type="dcterms:W3CDTF">2026-10-13T11:26:36Z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