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-resuelto"/>
    <w:p>
      <w:pPr>
        <w:pStyle w:val="Heading1"/>
      </w:pPr>
      <w:r>
        <w:t xml:space="preserve">Boletín de OSPF — Inicial (Resuelto)</w:t>
      </w:r>
    </w:p>
    <w:bookmarkEnd w:id="9"/>
    <w:bookmarkStart w:id="18" w:name="boletín-de-ospf-inicial-resuelto-1"/>
    <w:p>
      <w:pPr>
        <w:pStyle w:val="Heading1"/>
      </w:pPr>
      <w:r>
        <w:t xml:space="preserve">✅ Boletín de OSPF — Inicial (Resuelto)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es el proceso por el que todos los routers llegan a una visión coherente de la red tras un cambio (enlace caído, red nueva…). El dinámico la consigue solo: OSPF detecta el cambio, inunda los LSAs y recalcula; en el estático, cada cambio hay que detectarlo y reconfigurarlo a mano, router por router.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2026-09-28T10:37:02Z</dcterms:created>
  <dcterms:modified xsi:type="dcterms:W3CDTF">2026-09-28T10:37:02Z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