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servicios-de-red-inicial"/>
    <w:p>
      <w:pPr>
        <w:pStyle w:val="Heading1"/>
      </w:pPr>
      <w:r>
        <w:t xml:space="preserve">Boletín de Servicios de red — Inicial</w:t>
      </w:r>
    </w:p>
    <w:bookmarkEnd w:id="20"/>
    <w:bookmarkStart w:id="29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21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21"/>
    <w:bookmarkStart w:id="22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23"/>
    <w:bookmarkStart w:id="24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f) SOA/NS</w:t>
            </w:r>
          </w:p>
        </w:tc>
      </w:tr>
    </w:tbl>
    <w:bookmarkEnd w:id="24"/>
    <w:bookmarkStart w:id="25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d) Vaciar la caché DNS</w:t>
            </w:r>
          </w:p>
        </w:tc>
      </w:tr>
    </w:tbl>
    <w:bookmarkEnd w:id="25"/>
    <w:bookmarkStart w:id="26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26"/>
    <w:bookmarkStart w:id="27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27"/>
    <w:bookmarkStart w:id="28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2026-10-13T09:18:07Z</dcterms:created>
  <dcterms:modified xsi:type="dcterms:W3CDTF">2026-10-13T09:18:07Z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