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trunking-e-inter-vlan-inicial"/>
    <w:p>
      <w:pPr>
        <w:pStyle w:val="Heading1"/>
      </w:pPr>
      <w:r>
        <w:t xml:space="preserve">Boletín de Trunking e inter-VLAN — Inicial</w:t>
      </w:r>
    </w:p>
    <w:bookmarkEnd w:id="9"/>
    <w:bookmarkStart w:id="18" w:name="X3597c553be45e06c21bae7f37aca9cf7f0f78ba"/>
    <w:p>
      <w:pPr>
        <w:pStyle w:val="Heading1"/>
      </w:pPr>
      <w:r>
        <w:t xml:space="preserve">📝 Boletín de Trunking e inter-VLAN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2026-09-25T21:33:28Z</dcterms:created>
  <dcterms:modified xsi:type="dcterms:W3CDTF">2026-09-25T21:33:28Z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