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OSPF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RIP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BGP → EGP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EIGRP → IGP</w:t>
      </w:r>
      <w:r>
        <w:t xml:space="preserve"> </w:t>
      </w:r>
      <w:r>
        <w:t xml:space="preserve">(interior, aunque propietario de Cisco)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2026-09-25T21:33:31Z</dcterms:created>
  <dcterms:modified xsi:type="dcterms:W3CDTF">2026-09-25T21:33:31Z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