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packet-tracer-resuelto"/>
    <w:p>
      <w:pPr>
        <w:pStyle w:val="Heading1"/>
      </w:pPr>
      <w:r>
        <w:t xml:space="preserve">Boletín UD2 — Packet Tracer resuelto</w:t>
      </w:r>
    </w:p>
    <w:bookmarkEnd w:id="9"/>
    <w:bookmarkStart w:id="21" w:name="boletín-ud2-packet-tracer-resuelto-1"/>
    <w:p>
      <w:pPr>
        <w:pStyle w:val="Heading1"/>
      </w:pPr>
      <w:r>
        <w:t xml:space="preserve">✅ Boletín UD2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00D0.xxxx.xxA     DYNAMIC     Fa0/1</w:t>
      </w:r>
      <w:r>
        <w:br/>
      </w:r>
      <w:r>
        <w:rPr>
          <w:rStyle w:val="VerbatimChar"/>
        </w:rPr>
        <w:t xml:space="preserve">   1    00D0.xxxx.xxB 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del switch (broadcast ARP antes, si no hay cache).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del switch en el 1er salto)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la UD2: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 UD2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UD3)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2026-09-25T18:51:16Z</dcterms:created>
  <dcterms:modified xsi:type="dcterms:W3CDTF">2026-09-25T18:51:16Z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