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u03-direccionamiento-ip-y-subnetting"/>
    <w:p>
      <w:pPr>
        <w:pStyle w:val="Heading1"/>
      </w:pPr>
      <w:r>
        <w:t xml:space="preserve">U03 — 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 (U03)</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UD10</w:t>
        </w:r>
      </w:hyperlink>
      <w:r>
        <w:t xml:space="preserve"> </w:t>
      </w:r>
      <w:r>
        <w:t xml:space="preserve">lo despliega a fondo. ARP, la cabecera y la fragmentación cierran el puente con la trama de la</w:t>
      </w:r>
      <w:r>
        <w:t xml:space="preserve"> </w:t>
      </w:r>
      <w:hyperlink r:id="rId10">
        <w:r>
          <w:rPr>
            <w:rStyle w:val="Hyperlink"/>
          </w:rPr>
          <w:t xml:space="preserve">UD2</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UD4 · 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UD2</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UD2).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de 4000 B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de 4000 B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de 4000 B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2bad06dcf15fc84c2cb39d891e2a15b2a39d90"/>
    <w:p>
      <w:pPr>
        <w:pStyle w:val="Heading2"/>
      </w:pPr>
      <w:r>
        <w:t xml:space="preserve">🔗 ARP: de la IP a la MAC (el puente con la UD2)</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UD2</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paquete de 3000 B 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de la UD2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(16.777.216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(65K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en la UD7.</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 de la UD9</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 (UD9):</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 (UD3):</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 (UD9)</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~16M</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Meten la pregunta de</w:t>
      </w:r>
      <w:r>
        <w:t xml:space="preserve"> </w:t>
      </w:r>
      <w:r>
        <w:rPr>
          <w:i/>
          <w:iCs/>
        </w:rPr>
        <w:t xml:space="preserve">subredes iguales</w:t>
      </w:r>
      <w:r>
        <w:t xml:space="preserve"> </w:t>
      </w:r>
      <w:r>
        <w:t xml:space="preserve">cuando la respuesta correcta exige</w:t>
      </w:r>
      <w:r>
        <w:t xml:space="preserve"> </w:t>
      </w:r>
      <w:r>
        <w:rPr>
          <w:b/>
          <w:bCs/>
        </w:rPr>
        <w:t xml:space="preserve">VLSM</w:t>
      </w:r>
      <w:r>
        <w:t xml:space="preserve"> </w:t>
      </w:r>
      <w:r>
        <w:t xml:space="preserve">(el</w:t>
      </w:r>
      <w:r>
        <w:t xml:space="preserve"> </w:t>
      </w:r>
      <w:hyperlink r:id="rId18">
        <w:r>
          <w:rPr>
            <w:rStyle w:val="Hyperlink"/>
          </w:rPr>
          <w:t xml:space="preserve">punto 7</w:t>
        </w:r>
      </w:hyperlink>
      <w:r>
        <w:t xml:space="preserve">). Fíjate bien: con /26 tienes 4 subredes de 62 hosts… y si pidieran tamaños distintos, /26 ya no vale.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Config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32 caracteres hexadecimales es un coñazo,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rPr>
          <w:rStyle w:val="VerbatimChar"/>
        </w:rPr>
        <w:t xml:space="preserve">         │         └──2 ceros──┘   la cadena más larga ya</w:t>
      </w:r>
      <w:r>
        <w:br/>
      </w:r>
      <w:r>
        <w:rPr>
          <w:rStyle w:val="VerbatimChar"/>
        </w:rPr>
        <w:t xml:space="preserve">         │                          se llevó el :: (el par</w:t>
      </w:r>
      <w:r>
        <w:br/>
      </w:r>
      <w:r>
        <w:rPr>
          <w:rStyle w:val="VerbatimChar"/>
        </w:rPr>
        <w:t xml:space="preserve">         └── cadena mayor ya usada   de ceros se queda '0:0')</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los</w:t>
      </w:r>
      <w:r>
        <w:t xml:space="preserve"> </w:t>
      </w:r>
      <w:r>
        <w:t xml:space="preserve">“DNS”</w:t>
      </w:r>
      <w:r>
        <w:t xml:space="preserve"> </w:t>
      </w:r>
      <w:r>
        <w:t xml:space="preserve">internos: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la primera cifra del IID suele ser</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2001:DB8:1:2:6dfa:79ff:fe5b:21c4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(los switches no inundan el grupo pretendido).</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En el plano de redes es lo que hace escalable al</w:t>
      </w:r>
      <w:r>
        <w:t xml:space="preserve"> </w:t>
      </w:r>
      <w:hyperlink r:id="rId26">
        <w:r>
          <w:rPr>
            <w:rStyle w:val="Hyperlink"/>
          </w:rPr>
          <w:t xml:space="preserve">punto de 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1"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5"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overhead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(lo verás en el cierre).</w:t>
      </w:r>
    </w:p>
    <w:p>
      <w:r>
        <w:pict>
          <v:rect style="width:0;height:1.5pt" o:hralign="center" o:hrstd="t" o:hr="t"/>
        </w:pict>
      </w:r>
    </w:p>
    <w:bookmarkEnd w:id="195"/>
    <w:bookmarkStart w:id="196"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están de capa caída por problemas de seguridad y fiabilidad; hoy se prefiere Dual Stack o túneles GRE/manuales si no hay alternativa.</w:t>
      </w:r>
    </w:p>
    <w:p>
      <w:r>
        <w:pict>
          <v:rect style="width:0;height:1.5pt" o:hralign="center" o:hrstd="t" o:hr="t"/>
        </w:pict>
      </w:r>
    </w:p>
    <w:bookmarkEnd w:id="196"/>
    <w:bookmarkStart w:id="197"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rPr>
          <w:i/>
          <w:iCs/>
        </w:rPr>
        <w:t xml:space="preserve">NAT inverso</w:t>
      </w:r>
      <w:r>
        <w:t xml:space="preserve"> </w:t>
      </w:r>
      <w:r>
        <w:t xml:space="preserve">de la UD9.</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7"/>
    <w:bookmarkStart w:id="198"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8"/>
    <w:bookmarkStart w:id="199"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199"/>
    <w:bookmarkStart w:id="200"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0"/>
    <w:bookmarkEnd w:id="201"/>
    <w:bookmarkStart w:id="210"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16 · Configuración IPv6</w:t>
      </w:r>
    </w:p>
    <w:p>
      <w:r>
        <w:pict>
          <v:rect style="width:0;height:1.5pt" o:hralign="center" o:hrstd="t" o:hr="t"/>
        </w:pict>
      </w:r>
    </w:p>
    <w:bookmarkStart w:id="202"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2"/>
    <w:bookmarkStart w:id="203"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3"/>
    <w:bookmarkStart w:id="204"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4"/>
    <w:bookmarkStart w:id="205"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5"/>
    <w:bookmarkStart w:id="206"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6"/>
    <w:bookmarkStart w:id="207"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7"/>
    <w:bookmarkStart w:id="208"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8"/>
    <w:bookmarkStart w:id="209"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09"/>
    <w:bookmarkEnd w:id="210"/>
    <w:bookmarkStart w:id="221"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17 · IPv8: la propuesta sin RFC</w:t>
      </w:r>
    </w:p>
    <w:p>
      <w:r>
        <w:pict>
          <v:rect style="width:0;height:1.5pt" o:hralign="center" o:hrstd="t" o:hr="t"/>
        </w:pict>
      </w:r>
    </w:p>
    <w:bookmarkStart w:id="211"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1"/>
    <w:bookmarkStart w:id="214"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billones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2">
        <w:r>
          <w:rPr>
            <w:rStyle w:val="Hyperlink"/>
          </w:rPr>
          <w:t xml:space="preserve">ipv8.es</w:t>
        </w:r>
      </w:hyperlink>
      <w:r>
        <w:t xml:space="preserve"> </w:t>
      </w:r>
      <w:r>
        <w:t xml:space="preserve">explica la propuesta en español; el documento de referencia está en el</w:t>
      </w:r>
      <w:r>
        <w:t xml:space="preserve"> </w:t>
      </w:r>
      <w:hyperlink r:id="rId213">
        <w:r>
          <w:rPr>
            <w:rStyle w:val="Hyperlink"/>
          </w:rPr>
          <w:t xml:space="preserve">datatracker del IETF</w:t>
        </w:r>
      </w:hyperlink>
      <w:r>
        <w:t xml:space="preserve">.</w:t>
      </w:r>
    </w:p>
    <w:p>
      <w:r>
        <w:pict>
          <v:rect style="width:0;height:1.5pt" o:hralign="center" o:hrstd="t" o:hr="t"/>
        </w:pict>
      </w:r>
    </w:p>
    <w:bookmarkEnd w:id="214"/>
    <w:bookmarkStart w:id="215"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5"/>
    <w:bookmarkStart w:id="216"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6"/>
    <w:bookmarkStart w:id="217"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7"/>
    <w:bookmarkStart w:id="218"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8"/>
    <w:bookmarkStart w:id="219"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19"/>
    <w:bookmarkStart w:id="220"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0"/>
    <w:bookmarkEnd w:id="221"/>
    <w:bookmarkStart w:id="234"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UD3 · 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2"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ignoras y sigues con tu vida</w:t>
      </w:r>
      <w:r>
        <w:t xml:space="preserve"> </w:t>
      </w:r>
      <w:r>
        <w:t xml:space="preserve">→ También, porque la NIC filtra por MAC y ni siquiera ves ese paquete. Pero conceptualmente, el SO sabe que debe ir al gateway.</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2"/>
    <w:bookmarkStart w:id="223"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3"/>
    <w:bookmarkStart w:id="224"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en la UD7).</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4"/>
    <w:bookmarkStart w:id="225"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(#NoAlcancen).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agarrar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5"/>
    <w:bookmarkStart w:id="226"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Pero no queda margen de crecimiento.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Configura rutas estáticas para que todas las subredes se vean entre sí.</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(seguridad):</w:t>
      </w:r>
      <w:r>
        <w:t xml:space="preserve"> </w:t>
      </w:r>
      <w:r>
        <w:t xml:space="preserve">Configura un</w:t>
      </w:r>
      <w:r>
        <w:t xml:space="preserve"> </w:t>
      </w:r>
      <w:r>
        <w:rPr>
          <w:b/>
          <w:bCs/>
        </w:rPr>
        <w:t xml:space="preserve">ACL que bloquee el tráfico de Ventas a Dirección</w:t>
      </w:r>
      <w:r>
        <w:t xml:space="preserve">, pero</w:t>
      </w:r>
      <w:r>
        <w:t xml:space="preserve"> </w:t>
      </w:r>
      <w:r>
        <w:rPr>
          <w:b/>
          <w:bCs/>
        </w:rPr>
        <w:t xml:space="preserve">mal escrito: permites todo sin querer</w:t>
      </w:r>
      <w:r>
        <w:t xml:space="preserve">.</w:t>
      </w:r>
    </w:p>
    <w:p>
      <w:pPr>
        <w:pStyle w:val="BodyText"/>
      </w:pPr>
      <w:r>
        <w:rPr>
          <w:b/>
          <w:bCs/>
        </w:rPr>
        <w:t xml:space="preserve">Pistas para diagnosticar el fallo 2:</w:t>
      </w:r>
      <w:r>
        <w:t xml:space="preserve"> </w:t>
      </w:r>
      <w:r>
        <w:t xml:space="preserve">- La ACL clásica del</w:t>
      </w:r>
      <w:r>
        <w:t xml:space="preserve"> </w:t>
      </w:r>
      <w:r>
        <w:t xml:space="preserve">“permit all”</w:t>
      </w:r>
      <w:r>
        <w:t xml:space="preserve">: una línea</w:t>
      </w:r>
      <w:r>
        <w:t xml:space="preserve"> </w:t>
      </w:r>
      <w:r>
        <w:rPr>
          <w:rStyle w:val="VerbatimChar"/>
        </w:rPr>
        <w:t xml:space="preserve">permit ip any any</w:t>
      </w:r>
      <w:r>
        <w:t xml:space="preserve"> </w:t>
      </w:r>
      <w:r>
        <w:t xml:space="preserve">colocada antes de la regla que querías hace que todo pase. Comprueba el</w:t>
      </w:r>
      <w:r>
        <w:t xml:space="preserve"> </w:t>
      </w:r>
      <w:r>
        <w:rPr>
          <w:b/>
          <w:bCs/>
        </w:rPr>
        <w:t xml:space="preserve">orden</w:t>
      </w:r>
      <w:r>
        <w:t xml:space="preserve"> </w:t>
      </w:r>
      <w:r>
        <w:t xml:space="preserve">de las líneas: las ACL se evalúan en cascada, de arriba abajo, y la primera coincidencia gana.</w:t>
      </w:r>
      <w:r>
        <w:t xml:space="preserve"> </w:t>
      </w:r>
      <w:r>
        <w:t xml:space="preserve">- Verifica con</w:t>
      </w:r>
      <w:r>
        <w:t xml:space="preserve"> </w:t>
      </w:r>
      <w:r>
        <w:rPr>
          <w:rStyle w:val="VerbatimChar"/>
          <w:b/>
          <w:bCs/>
        </w:rPr>
        <w:t xml:space="preserve">show access-lists</w:t>
      </w:r>
      <w:r>
        <w:t xml:space="preserve"> </w:t>
      </w:r>
      <w:r>
        <w:t xml:space="preserve">si la regla de bloqueo tiene contadores de coincidencias (todos en cero = nunca se aplica).</w:t>
      </w:r>
      <w:r>
        <w:t xml:space="preserve"> </w:t>
      </w:r>
      <w:r>
        <w:t xml:space="preserve">- Haz un ping desde Ventas a la IP de Dirección: si responde, esa regla no está bloqueando nada. El filtro no funciona y nadie lo nota… hasta el día de la auditoría.</w:t>
      </w:r>
    </w:p>
    <w:p>
      <w:r>
        <w:pict>
          <v:rect style="width:0;height:1.5pt" o:hralign="center" o:hrstd="t" o:hr="t"/>
        </w:pict>
      </w:r>
    </w:p>
    <w:bookmarkEnd w:id="226"/>
    <w:bookmarkStart w:id="22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7"/>
    <w:bookmarkStart w:id="228"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crea él solito).</w:t>
      </w:r>
    </w:p>
    <w:p>
      <w:r>
        <w:pict>
          <v:rect style="width:0;height:1.5pt" o:hralign="center" o:hrstd="t" o:hr="t"/>
        </w:pict>
      </w:r>
    </w:p>
    <w:bookmarkEnd w:id="228"/>
    <w:bookmarkStart w:id="2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29"/>
    <w:bookmarkStart w:id="230"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3 subredes de 50 hosts</w:t>
      </w:r>
      <w:r>
        <w:t xml:space="preserve"> </w:t>
      </w:r>
      <w:r>
        <w:rPr>
          <w:b/>
          <w:bCs/>
        </w:rPr>
        <w:t xml:space="preserve">no</w:t>
      </w:r>
      <w:r>
        <w:t xml:space="preserve"> </w:t>
      </w:r>
      <w:r>
        <w:t xml:space="preserve">se resuelven con /25 a lo loco; busca la máscara justa para cada una y menciona que se puede afinar con VLSM.</w:t>
      </w:r>
    </w:p>
    <w:p>
      <w:r>
        <w:pict>
          <v:rect style="width:0;height:1.5pt" o:hralign="center" o:hrstd="t" o:hr="t"/>
        </w:pict>
      </w:r>
    </w:p>
    <w:bookmarkEnd w:id="230"/>
    <w:bookmarkStart w:id="231"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1"/>
    <w:bookmarkStart w:id="232"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 EN UD4:</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2"/>
    <w:bookmarkStart w:id="23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d)</w:t>
            </w:r>
          </w:p>
        </w:tc>
        <w:tc>
          <w:tcPr/>
          <w:p>
            <w:pPr>
              <w:pStyle w:val="Compact"/>
            </w:pPr>
            <w:r>
              <w:t xml:space="preserve">Direccionamiento lógico IP</w:t>
            </w:r>
          </w:p>
        </w:tc>
        <w:tc>
          <w:tcPr/>
          <w:p>
            <w:pPr>
              <w:pStyle w:val="Compact"/>
            </w:pPr>
            <w:r>
              <w:t xml:space="preserve">✅ IPv4 e IPv6, subredes, CIDR, máscaras, VLSM (puntos 1-7 y 9-12)</w:t>
            </w:r>
          </w:p>
        </w:tc>
      </w:tr>
      <w:tr>
        <w:tc>
          <w:tcPr/>
          <w:p>
            <w:pPr>
              <w:pStyle w:val="Compact"/>
            </w:pPr>
            <w:r>
              <w:t xml:space="preserve">g)</w:t>
            </w:r>
          </w:p>
        </w:tc>
        <w:tc>
          <w:tcPr/>
          <w:p>
            <w:pPr>
              <w:pStyle w:val="Compact"/>
            </w:pPr>
            <w:r>
              <w:t xml:space="preserve">Conectividad entre dispositivos</w:t>
            </w:r>
          </w:p>
        </w:tc>
        <w:tc>
          <w:tcPr/>
          <w:p>
            <w:pPr>
              <w:pStyle w:val="Compact"/>
            </w:pPr>
            <w:r>
              <w:t xml:space="preserve">✅ DHCP/DORA (8), SLAAC/DHCPv6 (12-13) + ⚡ Laboratorio Packet Tracer</w:t>
            </w:r>
          </w:p>
        </w:tc>
      </w:tr>
      <w:tr>
        <w:tc>
          <w:tcPr/>
          <w:p>
            <w:pPr>
              <w:pStyle w:val="Compact"/>
            </w:pPr>
            <w:r>
              <w:t xml:space="preserve">c)</w:t>
            </w:r>
          </w:p>
        </w:tc>
        <w:tc>
          <w:tcPr/>
          <w:p>
            <w:pPr>
              <w:pStyle w:val="Compact"/>
            </w:pPr>
            <w:r>
              <w:t xml:space="preserve">Subredes y diseño lógico (RA1)</w:t>
            </w:r>
          </w:p>
        </w:tc>
        <w:tc>
          <w:tcPr/>
          <w:p>
            <w:pPr>
              <w:pStyle w:val="Compact"/>
            </w:pPr>
            <w:r>
              <w:t xml:space="preserve">✅ CIDR y VLSM (puntos 5-7)</w:t>
            </w:r>
          </w:p>
        </w:tc>
      </w:tr>
      <w:tr>
        <w:tc>
          <w:tcPr/>
          <w:p>
            <w:pPr>
              <w:pStyle w:val="Compact"/>
            </w:pPr>
            <w:r>
              <w:t xml:space="preserve">—</w:t>
            </w:r>
          </w:p>
        </w:tc>
        <w:tc>
          <w:tcPr/>
          <w:p>
            <w:pPr>
              <w:pStyle w:val="Compact"/>
            </w:pPr>
            <w:r>
              <w:t xml:space="preserve">Fundamentos de encaminamiento (RA6)</w:t>
            </w:r>
          </w:p>
        </w:tc>
        <w:tc>
          <w:tcPr/>
          <w:p>
            <w:pPr>
              <w:pStyle w:val="Compact"/>
            </w:pPr>
            <w:r>
              <w:t xml:space="preserve">✅ Cabecera, ARP y máscaras/redes (puntos 1-2 y 5)</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UD4 · Switching y VLAN</w:t>
        </w:r>
      </w:hyperlink>
    </w:p>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77" Target="/ApuntesRedes/09-nat-pat" TargetMode="External" /><Relationship Type="http://schemas.openxmlformats.org/officeDocument/2006/relationships/hyperlink" Id="rId9" Target="/ApuntesRedes/10-servicios-red"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213" Target="https://datatracker.ietf.org/doc/draft-thain-ipv8/" TargetMode="External" /><Relationship Type="http://schemas.openxmlformats.org/officeDocument/2006/relationships/hyperlink" Id="rId212"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2026-09-25T18:51:17Z</dcterms:created>
  <dcterms:modified xsi:type="dcterms:W3CDTF">2026-09-25T18:51:17Z</dcterms:modified>
</cp:coreProperties>
</file>

<file path=docProps/custom.xml><?xml version="1.0" encoding="utf-8"?>
<Properties xmlns="http://schemas.openxmlformats.org/officeDocument/2006/custom-properties" xmlns:vt="http://schemas.openxmlformats.org/officeDocument/2006/docPropsVTypes"/>
</file>