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inicial"/>
    <w:p>
      <w:pPr>
        <w:pStyle w:val="Heading1"/>
      </w:pPr>
      <w:r>
        <w:t xml:space="preserve">Boletín UD4 — Inicial</w:t>
      </w:r>
    </w:p>
    <w:bookmarkEnd w:id="9"/>
    <w:bookmarkStart w:id="18" w:name="boletín-ud4-inicial-1"/>
    <w:p>
      <w:pPr>
        <w:pStyle w:val="Heading1"/>
      </w:pPr>
      <w:r>
        <w:t xml:space="preserve">📝 Boletín UD4 — Inicial</w:t>
      </w:r>
    </w:p>
    <w:p>
      <w:pPr>
        <w:pStyle w:val="BlockText"/>
      </w:pPr>
      <w:r>
        <w:t xml:space="preserve">Ejercicios básicos para afianzar los conceptos de switching y STP.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port-security</w:t>
            </w:r>
          </w:p>
        </w:tc>
        <w:tc>
          <w:tcPr/>
          <w:p>
            <w:pPr>
              <w:pStyle w:val="Compact"/>
            </w:pPr>
            <w:r>
              <w:t xml:space="preserve">d) Activar seguridad de puerto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2026-09-25T18:51:21Z</dcterms:created>
  <dcterms:modified xsi:type="dcterms:W3CDTF">2026-09-25T18:51:21Z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