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5-avanzado"/>
    <w:p>
      <w:pPr>
        <w:pStyle w:val="Heading1"/>
      </w:pPr>
      <w:r>
        <w:t xml:space="preserve">Boletín UD5 — Avanzado</w:t>
      </w:r>
    </w:p>
    <w:bookmarkEnd w:id="9"/>
    <w:bookmarkStart w:id="19" w:name="boletín-ud5-avanzado-1"/>
    <w:p>
      <w:pPr>
        <w:pStyle w:val="Heading1"/>
      </w:pPr>
      <w:r>
        <w:t xml:space="preserve">📝 Boletín UD5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completa-de-vlans"/>
    <w:p>
      <w:pPr>
        <w:pStyle w:val="Heading2"/>
      </w:pPr>
      <w:r>
        <w:t xml:space="preserve">1. Configuración completa de VLANs</w:t>
      </w:r>
    </w:p>
    <w:p>
      <w:pPr>
        <w:pStyle w:val="FirstParagraph"/>
      </w:pPr>
      <w: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Switch1:</w:t>
      </w:r>
      <w:r>
        <w:t xml:space="preserve"> </w:t>
      </w:r>
      <w: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Switch2:</w:t>
      </w:r>
      <w:r>
        <w:t xml:space="preserve"> </w:t>
      </w:r>
      <w: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Trunk:</w:t>
      </w:r>
      <w:r>
        <w:t xml:space="preserve"> </w:t>
      </w:r>
      <w: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Fa0/0 conectado a Switch1 Fa0/23, subinterfaces para VLAN 10 y 20</w:t>
      </w:r>
    </w:p>
    <w:p>
      <w:pPr>
        <w:pStyle w:val="FirstParagraph"/>
      </w:pPr>
      <w:r>
        <w:t xml:space="preserve">Escribe la configuración completa del router y ambos switches.</w:t>
      </w:r>
    </w:p>
    <w:bookmarkEnd w:id="10"/>
    <w:bookmarkStart w:id="11" w:name="diagnóstico-de-native-vlan"/>
    <w:p>
      <w:pPr>
        <w:pStyle w:val="Heading2"/>
      </w:pPr>
      <w:r>
        <w:t xml:space="preserve">2.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 trunk</w:t>
      </w:r>
      <w:r>
        <w:t xml:space="preserve"> </w:t>
      </w:r>
      <w:r>
        <w:t xml:space="preserve">muestra la native VLAN de cada extremo.</w:t>
      </w:r>
    </w:p>
    <w:bookmarkEnd w:id="11"/>
    <w:bookmarkStart w:id="12" w:name="diseño-de-vlans-corporativas"/>
    <w:p>
      <w:pPr>
        <w:pStyle w:val="Heading2"/>
      </w:pPr>
      <w:r>
        <w:t xml:space="preserve">3.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t xml:space="preserve">¿Con qué ACLs limitas el acceso de Dirección?</w:t>
      </w:r>
    </w:p>
    <w:bookmarkEnd w:id="12"/>
    <w:bookmarkStart w:id="13" w:name="vtp-disaster-recovery"/>
    <w:p>
      <w:pPr>
        <w:pStyle w:val="Heading2"/>
      </w:pPr>
      <w:r>
        <w:t xml:space="preserve">4.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13"/>
    <w:bookmarkStart w:id="14" w:name="router-on-a-stick-cuello-de-botella"/>
    <w:p>
      <w:pPr>
        <w:pStyle w:val="Heading2"/>
      </w:pPr>
      <w:r>
        <w:t xml:space="preserve">5.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t xml:space="preserve">¿Cómo cambia el escenario con una interfaz GigabitEthernet?</w:t>
      </w:r>
    </w:p>
    <w:bookmarkEnd w:id="14"/>
    <w:bookmarkStart w:id="15" w:name="seguridad-en-vlans"/>
    <w:p>
      <w:pPr>
        <w:pStyle w:val="Heading2"/>
      </w:pPr>
      <w:r>
        <w:t xml:space="preserve">6.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15"/>
    <w:bookmarkStart w:id="16" w:name="vlan-hopping-y-hardening"/>
    <w:p>
      <w:pPr>
        <w:pStyle w:val="Heading2"/>
      </w:pPr>
      <w: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3 vectores de ataque</w:t>
      </w:r>
      <w:r>
        <w:t xml:space="preserve"> </w:t>
      </w:r>
      <w:r>
        <w:t xml:space="preserve">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DTP/negociación de trunks, en el double tagging sobre la native VLAN y en el etiquetado 802.1Q aplicado a tramas que no deberían llevarlo.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16"/>
    <w:bookmarkStart w:id="17" w:name="inter-vlan-con-svi-paso-a-paso"/>
    <w:p>
      <w:pPr>
        <w:pStyle w:val="Heading2"/>
      </w:pPr>
      <w:r>
        <w:t xml:space="preserve">8.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10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17"/>
    <w:bookmarkStart w:id="18" w:name="dhcp-por-vlan-sin-teclear-ips"/>
    <w:p>
      <w:pPr>
        <w:pStyle w:val="Heading2"/>
      </w:pPr>
      <w:r>
        <w:t xml:space="preserve">9. DHCP por VLAN sin teclear IPs</w:t>
      </w:r>
    </w:p>
    <w:p>
      <w:pPr>
        <w:pStyle w:val="FirstParagraph"/>
      </w:pPr>
      <w:r>
        <w:t xml:space="preserve">Siguiendo con el escenario del ejercicio 8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1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1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1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2026-09-25T18:51:23Z</dcterms:created>
  <dcterms:modified xsi:type="dcterms:W3CDTF">2026-09-25T18:51:23Z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