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u12-alta-disponibilidad-y-redundancia"/>
    <w:p>
      <w:pPr>
        <w:pStyle w:val="Heading1"/>
      </w:pPr>
      <w:r>
        <w:t xml:space="preserve">U12 — 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 (U12)</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UD4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 de la UD4</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la UD10).</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UD4</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la UD3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UD6</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(UD7),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ba03b3f9f764d7e0d2cfc7d7257ddd273c8ec68"/>
    <w:p>
      <w:pPr>
        <w:pStyle w:val="Heading2"/>
      </w:pPr>
      <w:r>
        <w:t xml:space="preserve">🏗️ Servicios duplicados: lo que aprendiste en UD10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la UD10: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de la U12,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2026-09-25T18:51:41Z</dcterms:created>
  <dcterms:modified xsi:type="dcterms:W3CDTF">2026-09-25T18:51:41Z</dcterms:modified>
</cp:coreProperties>
</file>

<file path=docProps/custom.xml><?xml version="1.0" encoding="utf-8"?>
<Properties xmlns="http://schemas.openxmlformats.org/officeDocument/2006/custom-properties" xmlns:vt="http://schemas.openxmlformats.org/officeDocument/2006/docPropsVTypes"/>
</file>