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3-ipv6-avanzado-resuelto"/>
    <w:p>
      <w:pPr>
        <w:pStyle w:val="Heading1"/>
      </w:pPr>
      <w:r>
        <w:t xml:space="preserve">Boletín UD3 · IPv6 — Avanzado (Resuelto)</w:t>
      </w:r>
    </w:p>
    <w:bookmarkEnd w:id="9"/>
    <w:bookmarkStart w:id="18" w:name="boletín-ud3-ipv6-avanzado-resuelto-1"/>
    <w:p>
      <w:pPr>
        <w:pStyle w:val="Heading1"/>
      </w:pPr>
      <w:r>
        <w:t xml:space="preserve">✅ Boletín UD3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Máscara para sedes:</w:t>
      </w:r>
      <w:r>
        <w:t xml:space="preserve"> </w:t>
      </w:r>
      <w:r>
        <w:t xml:space="preserve">/48 → para 5 sedes necesitas 3 bits extra (2³ = 8). Cada sede tendría /51. Pero en IPv6 lo estándar es dar /48 a cada sede (todas son /48 independientes). Si solo tienes un /48 global, entonces usas /52 para 16 subredes (2⁴ = 16).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t xml:space="preserve">2001:DB8:CAFE:0000::/64</w:t>
      </w:r>
    </w:p>
    <w:p>
      <w:pPr>
        <w:pStyle w:val="Compact"/>
        <w:numPr>
          <w:ilvl w:val="1"/>
          <w:numId w:val="1002"/>
        </w:numPr>
      </w:pPr>
      <w:r>
        <w:t xml:space="preserve">2001:DB8:CAFE:0001::/64</w:t>
      </w:r>
    </w:p>
    <w:p>
      <w:pPr>
        <w:pStyle w:val="Compact"/>
        <w:numPr>
          <w:ilvl w:val="1"/>
          <w:numId w:val="1002"/>
        </w:numPr>
      </w:pPr>
      <w:r>
        <w:t xml:space="preserve">2001:DB8:CAFE:0002::/64</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2001:DB8:1::10%&lt;id-interfaz&gt;</w:t>
      </w:r>
      <w:r>
        <w:t xml:space="preserve">.</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La hacen cualquier router intermedio</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2026-09-24T04:16:02Z</dcterms:created>
  <dcterms:modified xsi:type="dcterms:W3CDTF">2026-09-24T04:16:02Z</dcterms:modified>
</cp:coreProperties>
</file>

<file path=docProps/custom.xml><?xml version="1.0" encoding="utf-8"?>
<Properties xmlns="http://schemas.openxmlformats.org/officeDocument/2006/custom-properties" xmlns:vt="http://schemas.openxmlformats.org/officeDocument/2006/docPropsVTypes"/>
</file>