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u07-enrutamiento-dinámico-con-ospf"/>
    <w:p>
      <w:pPr>
        <w:pStyle w:val="Heading1"/>
      </w:pPr>
      <w:r>
        <w:t xml:space="preserve">U07 — 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 (U07)</w:t>
      </w:r>
      <w:r>
        <w:t xml:space="preserve"> </w:t>
      </w:r>
      <w:r>
        <w:t xml:space="preserve">→ 🛡️ ACLs → 🌐 NAT</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de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UD6</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Aplica protocolos de encaminamiento dinámico en redes 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Ventajas del enrutamiento dinámico</w:t>
            </w:r>
          </w:p>
        </w:tc>
        <w:tc>
          <w:tcPr/>
          <w:p>
            <w:pPr>
              <w:pStyle w:val="Compact"/>
            </w:pPr>
            <w:r>
              <w:t xml:space="preserve">✅ Punto 1</w:t>
            </w:r>
          </w:p>
        </w:tc>
      </w:tr>
      <w:tr>
        <w:tc>
          <w:tcPr/>
          <w:p>
            <w:pPr>
              <w:pStyle w:val="Compact"/>
            </w:pPr>
            <w:r>
              <w:t xml:space="preserve">b)</w:t>
            </w:r>
          </w:p>
        </w:tc>
        <w:tc>
          <w:tcPr/>
          <w:p>
            <w:pPr>
              <w:pStyle w:val="Compact"/>
            </w:pPr>
            <w:r>
              <w:t xml:space="preserve">Clasificación de protocolos (IGP/EGP, estado de enlace)</w:t>
            </w:r>
          </w:p>
        </w:tc>
        <w:tc>
          <w:tcPr/>
          <w:p>
            <w:pPr>
              <w:pStyle w:val="Compact"/>
            </w:pPr>
            <w:r>
              <w:t xml:space="preserve">✅ Punto 2</w:t>
            </w:r>
          </w:p>
        </w:tc>
      </w:tr>
      <w:tr>
        <w:tc>
          <w:tcPr/>
          <w:p>
            <w:pPr>
              <w:pStyle w:val="Compact"/>
            </w:pPr>
            <w:r>
              <w:t xml:space="preserve">c)</w:t>
            </w:r>
          </w:p>
        </w:tc>
        <w:tc>
          <w:tcPr/>
          <w:p>
            <w:pPr>
              <w:pStyle w:val="Compact"/>
            </w:pPr>
            <w:r>
              <w:t xml:space="preserve">Funcionamiento de OSPF</w:t>
            </w:r>
          </w:p>
        </w:tc>
        <w:tc>
          <w:tcPr/>
          <w:p>
            <w:pPr>
              <w:pStyle w:val="Compact"/>
            </w:pPr>
            <w:r>
              <w:t xml:space="preserve">✅ Puntos 3-6 + ⚡ Laboratorio (punto 9)</w:t>
            </w:r>
          </w:p>
        </w:tc>
      </w:tr>
      <w:tr>
        <w:tc>
          <w:tcPr/>
          <w:p>
            <w:pPr>
              <w:pStyle w:val="Compact"/>
            </w:pPr>
            <w:r>
              <w:t xml:space="preserve">d)</w:t>
            </w:r>
          </w:p>
        </w:tc>
        <w:tc>
          <w:tcPr/>
          <w:p>
            <w:pPr>
              <w:pStyle w:val="Compact"/>
            </w:pPr>
            <w:r>
              <w:t xml:space="preserve">Configuración de OSPF</w:t>
            </w:r>
          </w:p>
        </w:tc>
        <w:tc>
          <w:tcPr/>
          <w:p>
            <w:pPr>
              <w:pStyle w:val="Compact"/>
            </w:pPr>
            <w:r>
              <w:t xml:space="preserve">✅ Puntos 7-8 + ⚡ Laboratorio (punto 9)</w:t>
            </w:r>
          </w:p>
        </w:tc>
      </w:tr>
      <w:tr>
        <w:tc>
          <w:tcPr/>
          <w:p>
            <w:pPr>
              <w:pStyle w:val="Compact"/>
            </w:pPr>
            <w:r>
              <w:t xml:space="preserve">e)</w:t>
            </w:r>
          </w:p>
        </w:tc>
        <w:tc>
          <w:tcPr/>
          <w:p>
            <w:pPr>
              <w:pStyle w:val="Compact"/>
            </w:pPr>
            <w:r>
              <w:t xml:space="preserve">Verificación y diagnóstico</w:t>
            </w:r>
          </w:p>
        </w:tc>
        <w:tc>
          <w:tcPr/>
          <w:p>
            <w:pPr>
              <w:pStyle w:val="Compact"/>
            </w:pPr>
            <w:r>
              <w:t xml:space="preserve">✅ Punto 8 + 🧠 Atrévete a pensar (punto 9)</w:t>
            </w:r>
          </w:p>
        </w:tc>
      </w:tr>
    </w:tbl>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UD8 · ACLs y seguridad de red</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UD7 · 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UD6 · Routing y ACLs</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KeywordTok"/>
        </w:rPr>
        <w:t xml:space="preserve">;</w:t>
      </w:r>
      <w:r>
        <w:rPr>
          <w:rStyle w:val="NormalTok"/>
        </w:rPr>
        <w:t xml:space="preserve"> </w:t>
      </w:r>
      <w:r>
        <w:rPr>
          <w:rStyle w:val="ExtensionTok"/>
        </w:rPr>
        <w:t xml:space="preserve">Ruta</w:t>
      </w:r>
      <w:r>
        <w:rPr>
          <w:rStyle w:val="NormalTok"/>
        </w:rPr>
        <w:t xml:space="preserve"> principal: 0.0.0.0/0 aprendida por OSPF </w:t>
      </w:r>
      <w:r>
        <w:rPr>
          <w:rStyle w:val="ErrorTok"/>
        </w:rPr>
        <w:t xml:space="preserve">(</w:t>
      </w:r>
      <w:r>
        <w:rPr>
          <w:rStyle w:val="ExtensionTok"/>
        </w:rPr>
        <w:t xml:space="preserve">AD</w:t>
      </w:r>
      <w:r>
        <w:rPr>
          <w:rStyle w:val="NormalTok"/>
        </w:rPr>
        <w:t xml:space="preserve"> 110, ver [punto 8]</w:t>
      </w:r>
      <w:r>
        <w:rPr>
          <w:rStyle w:val="ErrorTok"/>
        </w:rPr>
        <w:t xml:space="preserve">(</w:t>
      </w:r>
      <w:r>
        <w:rPr>
          <w:rStyle w:val="ExtensionTok"/>
        </w:rPr>
        <w:t xml:space="preserve">/ApuntesRedes/07-ospf/08-ruta-por-defecto-y-diagnostico</w:t>
      </w:r>
      <w:r>
        <w:rPr>
          <w:rStyle w:val="KeywordTok"/>
        </w:rPr>
        <w:t xml:space="preserv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5"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UD7 · 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3"/>
    <w:bookmarkStart w:id="4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4"/>
    <w:bookmarkEnd w:id="45"/>
    <w:bookmarkStart w:id="54"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UD7 · Enrutamiento dinámico con OSPF</w:t>
      </w:r>
      <w:r>
        <w:t xml:space="preserve"> </w:t>
      </w:r>
      <w:r>
        <w:t xml:space="preserve">→ 3 · Conceptos OSPF</w:t>
      </w:r>
    </w:p>
    <w:p>
      <w:r>
        <w:pict>
          <v:rect style="width:0;height:1.5pt" o:hralign="center" o:hrstd="t" o:hr="t"/>
        </w:pict>
      </w:r>
    </w:p>
    <w:bookmarkStart w:id="46"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48"/>
    <w:bookmarkStart w:id="49"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49"/>
    <w:bookmarkStart w:id="50"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3"/>
    <w:bookmarkEnd w:id="54"/>
    <w:bookmarkStart w:id="6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UD7 · Enrutamiento dinámico con OSPF</w:t>
      </w:r>
      <w:r>
        <w:t xml:space="preserve"> </w:t>
      </w:r>
      <w:r>
        <w:t xml:space="preserve">→ 4 · Áreas y tipos de routers</w:t>
      </w:r>
    </w:p>
    <w:p>
      <w:r>
        <w:pict>
          <v:rect style="width:0;height:1.5pt" o:hralign="center" o:hrstd="t" o:hr="t"/>
        </w:pict>
      </w:r>
    </w:p>
    <w:bookmarkStart w:id="55"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55"/>
    <w:bookmarkStart w:id="5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56"/>
    <w:bookmarkStart w:id="5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57"/>
    <w:bookmarkStart w:id="58"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y backbone router.</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61"/>
    <w:bookmarkEnd w:id="62"/>
    <w:bookmarkStart w:id="70"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UD7 · Enrutamiento dinámico con OSPF</w:t>
      </w:r>
      <w:r>
        <w:t xml:space="preserve"> </w:t>
      </w:r>
      <w:r>
        <w:t xml:space="preserve">→ 5 · DR y BDR</w:t>
      </w:r>
    </w:p>
    <w:p>
      <w:r>
        <w:pict>
          <v:rect style="width:0;height:1.5pt" o:hralign="center" o:hrstd="t" o:hr="t"/>
        </w:pict>
      </w:r>
    </w:p>
    <w:bookmarkStart w:id="6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 5-1 = 4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64"/>
    <w:bookmarkStart w:id="65"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solo ocurre al arrancar</w:t>
      </w:r>
      <w:r>
        <w:t xml:space="preserve"> </w:t>
      </w:r>
      <w:r>
        <w:t xml:space="preserve">OSPF (o al reiniciar el proceso).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Con solo el DR, 5 adyacencias</w:t>
      </w:r>
      <w:r>
        <w:t xml:space="preserve"> </w:t>
      </w:r>
      <w:r>
        <w:t xml:space="preserve">(N-1); contando también el BDR, 2N-3 = 9 (cada router con el DR y con el BDR). La cuenta clásica de examen es 2N-3.ctica son con DR y BDR).</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 N-1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68"/>
    <w:bookmarkStart w:id="69"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69"/>
    <w:bookmarkEnd w:id="70"/>
    <w:bookmarkStart w:id="78"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UD7 · Enrutamiento dinámico con OSPF</w:t>
      </w:r>
      <w:r>
        <w:t xml:space="preserve"> </w:t>
      </w:r>
      <w:r>
        <w:t xml:space="preserve">→ 6 · El coste OSPF</w:t>
      </w:r>
    </w:p>
    <w:p>
      <w:r>
        <w:pict>
          <v:rect style="width:0;height:1.5pt" o:hralign="center" o:hrstd="t" o:hr="t"/>
        </w:pict>
      </w:r>
    </w:p>
    <w:bookmarkStart w:id="71"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71"/>
    <w:bookmarkStart w:id="72"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72"/>
    <w:bookmarkStart w:id="73"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73"/>
    <w:bookmarkStart w:id="74"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R2</w:t>
      </w:r>
      <w:r>
        <w:br/>
      </w:r>
      <w:r>
        <w:rPr>
          <w:rStyle w:val="VerbatimChar"/>
        </w:rPr>
        <w:t xml:space="preserve">              ┌──────────┐</w:t>
      </w:r>
      <w:r>
        <w:br/>
      </w:r>
      <w:r>
        <w:rPr>
          <w:rStyle w:val="VerbatimChar"/>
        </w:rPr>
        <w:t xml:space="preserve">LAN ── R1 ─┤ FastEth ├── R3 ── LAN</w:t>
      </w:r>
      <w:r>
        <w:br/>
      </w:r>
      <w:r>
        <w:rPr>
          <w:rStyle w:val="VerbatimChar"/>
        </w:rPr>
        <w:t xml:space="preserve">               │  100Mbps │  100Mbps</w:t>
      </w:r>
      <w:r>
        <w:br/>
      </w:r>
      <w:r>
        <w:rPr>
          <w:rStyle w:val="VerbatimChar"/>
        </w:rPr>
        <w:t xml:space="preserve">              └──────────┘</w:t>
      </w:r>
      <w:r>
        <w:br/>
      </w:r>
      <w:r>
        <w:rPr>
          <w:rStyle w:val="VerbatimChar"/>
        </w:rPr>
        <w:t xml:space="preserve">   R1 ─── R4 ─── R3     (todo el camino por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la fibra de R2 está saturada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76"/>
    <w:bookmarkStart w:id="77"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77"/>
    <w:bookmarkEnd w:id="78"/>
    <w:bookmarkStart w:id="86"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UD7 · Enrutamiento dinámico con OSPF</w:t>
      </w:r>
      <w:r>
        <w:t xml:space="preserve"> </w:t>
      </w:r>
      <w:r>
        <w:t xml:space="preserve">→ 7 · Configuración OSPF</w:t>
      </w:r>
    </w:p>
    <w:p>
      <w:r>
        <w:pict>
          <v:rect style="width:0;height:1.5pt" o:hralign="center" o:hrstd="t" o:hr="t"/>
        </w:pict>
      </w:r>
    </w:p>
    <w:bookmarkStart w:id="79"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79"/>
    <w:bookmarkStart w:id="80"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OSPF en las interfaces que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80"/>
    <w:bookmarkStart w:id="81"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84"/>
    <w:bookmarkStart w:id="85"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85"/>
    <w:bookmarkEnd w:id="86"/>
    <w:bookmarkStart w:id="95"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UD7 · Enrutamiento dinámico con OSPF</w:t>
      </w:r>
      <w:r>
        <w:t xml:space="preserve"> </w:t>
      </w:r>
      <w:r>
        <w:t xml:space="preserve">→ 8 · Ruta por defecto y diagnóstico</w:t>
      </w:r>
    </w:p>
    <w:p>
      <w:r>
        <w:pict>
          <v:rect style="width:0;height:1.5pt" o:hralign="center" o:hrstd="t" o:hr="t"/>
        </w:pict>
      </w:r>
    </w:p>
    <w:bookmarkStart w:id="87"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87"/>
    <w:bookmarkStart w:id="88"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UD6</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89"/>
    <w:bookmarkStart w:id="90"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90"/>
    <w:bookmarkStart w:id="91"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w:t>
            </w:r>
            <w:r>
              <w:t xml:space="preserve"> </w:t>
            </w:r>
            <w:r>
              <w:rPr>
                <w:b/>
                <w:bCs/>
              </w:rPr>
              <w:t xml:space="preserve">externa</w:t>
            </w:r>
            <w:r>
              <w:t xml:space="preserve"> </w:t>
            </w:r>
            <w:r>
              <w:t xml:space="preserve">(la ruta por defecto del ASBR: predeterminada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92"/>
    <w:bookmarkStart w:id="93"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93"/>
    <w:bookmarkStart w:id="94"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94"/>
    <w:bookmarkEnd w:id="95"/>
    <w:bookmarkStart w:id="108" w:name="cierre-consolida-lo-aprendido"/>
    <w:p>
      <w:pPr>
        <w:pStyle w:val="Heading1"/>
      </w:pPr>
      <w:r>
        <w:t xml:space="preserve">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UD7 · Enrutamiento dinámico con OSPF</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96"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96"/>
    <w:bookmarkStart w:id="97"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97"/>
    <w:bookmarkStart w:id="98"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98"/>
    <w:bookmarkStart w:id="99"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sin conexión al backbone, los routers de las áreas 1 y 2 no intercambiarán rutas entre sí, aunque sean vecinos directos en el enlace físico. Verás los vecinos en el enlace directo (R3-R4) en estado FULL, pero sin rutas de la otra área en la tabla (</w:t>
      </w:r>
      <w:r>
        <w:rPr>
          <w:rStyle w:val="VerbatimChar"/>
        </w:rPr>
        <w:t xml:space="preserve">show ip route ospf</w:t>
      </w:r>
      <w:r>
        <w:t xml:space="preserve">).</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00"/>
    <w:bookmarkStart w:id="10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03"/>
    <w:bookmarkStart w:id="104"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04"/>
    <w:bookmarkStart w:id="105"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La elección de DR/BDR solo ocurre</w:t>
      </w:r>
      <w:r>
        <w:t xml:space="preserve"> </w:t>
      </w:r>
      <w:r>
        <w:rPr>
          <w:b/>
          <w:bCs/>
        </w:rPr>
        <w:t xml:space="preserve">al arrancar OSPF o al reiniciarlo</w:t>
      </w:r>
      <w:r>
        <w:t xml:space="preserve"> </w:t>
      </w:r>
      <w:r>
        <w:t xml:space="preserve">(lo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 EN UD8:</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06"/>
    <w:bookmarkStart w:id="107"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Ruta por defecto con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Escalera de diagnóstico (punto 8) + ⚡ Laboratorio con fallo intencionado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UD8 · ACLs y seguridad de red</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2026-09-24T04:16:10Z</dcterms:created>
  <dcterms:modified xsi:type="dcterms:W3CDTF">2026-09-24T04:16:10Z</dcterms:modified>
</cp:coreProperties>
</file>

<file path=docProps/custom.xml><?xml version="1.0" encoding="utf-8"?>
<Properties xmlns="http://schemas.openxmlformats.org/officeDocument/2006/custom-properties" xmlns:vt="http://schemas.openxmlformats.org/officeDocument/2006/docPropsVTypes"/>
</file>