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avanzado"/>
    <w:p>
      <w:pPr>
        <w:pStyle w:val="Heading1"/>
      </w:pPr>
      <w:r>
        <w:t xml:space="preserve">Boletín de Introducción — Avanzado</w:t>
      </w:r>
    </w:p>
    <w:bookmarkEnd w:id="9"/>
    <w:bookmarkStart w:id="18" w:name="boletín-de-introducción-avanzado-1"/>
    <w:p>
      <w:pPr>
        <w:pStyle w:val="Heading1"/>
      </w:pPr>
      <w:r>
        <w:t xml:space="preserve">📝 Boletín de Introducción — Avanzado</w:t>
      </w:r>
    </w:p>
    <w:p>
      <w:pPr>
        <w:pStyle w:val="BlockText"/>
      </w:pPr>
      <w: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10" w:name="diagnóstico-completo-no-tengo-internet"/>
    <w:p>
      <w:pPr>
        <w:pStyle w:val="Heading2"/>
      </w:pPr>
      <w:r>
        <w:t xml:space="preserve">1. Diagnóstico completo:</w:t>
      </w:r>
      <w:r>
        <w:t xml:space="preserve"> </w:t>
      </w:r>
      <w:r>
        <w:t xml:space="preserve">“No tengo Internet”</w:t>
      </w:r>
    </w:p>
    <w:p>
      <w:pPr>
        <w:pStyle w:val="FirstParagraph"/>
      </w:pPr>
      <w:r>
        <w:t xml:space="preserve">Un usuario te llama y dice:</w:t>
      </w:r>
      <w:r>
        <w:t xml:space="preserve"> </w:t>
      </w:r>
      <w:r>
        <w:rPr>
          <w:i/>
          <w:iCs/>
        </w:rPr>
        <w:t xml:space="preserve">“No me va Internet, no carga ninguna web”</w:t>
      </w:r>
      <w: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empieces por</w:t>
      </w:r>
      <w:r>
        <w:t xml:space="preserve"> </w:t>
      </w:r>
      <w:r>
        <w:t xml:space="preserve">“reiniciar el router”</w:t>
      </w:r>
      <w:r>
        <w:t xml:space="preserve">. Sigue la escalera de abajo a arriba.</w:t>
      </w:r>
    </w:p>
    <w:bookmarkEnd w:id="10"/>
    <w:bookmarkStart w:id="11" w:name="la-historia-de-un-paquete"/>
    <w:p>
      <w:pPr>
        <w:pStyle w:val="Heading2"/>
      </w:pPr>
      <w:r>
        <w:t xml:space="preserve">2. La historia de un paquete</w:t>
      </w:r>
    </w:p>
    <w:p>
      <w:pPr>
        <w:pStyle w:val="FirstParagraph"/>
      </w:pPr>
      <w:r>
        <w:t xml:space="preserve">Narra el viaje de un paquete que sale desde tu navegador (</w:t>
      </w:r>
      <w:r>
        <w:rPr>
          <w:rStyle w:val="VerbatimChar"/>
        </w:rPr>
        <w:t xml:space="preserve">192.168.1.10</w:t>
      </w:r>
      <w:r>
        <w:t xml:space="preserve">) hasta el servidor de Google (</w:t>
      </w:r>
      <w:r>
        <w:rPr>
          <w:rStyle w:val="VerbatimChar"/>
        </w:rPr>
        <w:t xml:space="preserve">142.250.185.78</w:t>
      </w:r>
      <w: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capas: Ethernet (MAC) → IP (sobre) → TCP (fiabilidad) → HTTP (petición).</w:t>
      </w:r>
    </w:p>
    <w:bookmarkEnd w:id="11"/>
    <w:bookmarkStart w:id="12" w:name="arp-el-protocolo-olvidado"/>
    <w:p>
      <w:pPr>
        <w:pStyle w:val="Heading2"/>
      </w:pPr>
      <w:r>
        <w:t xml:space="preserve">3. ARP, el protocolo olvidado</w:t>
      </w:r>
    </w:p>
    <w:p>
      <w:pPr>
        <w:pStyle w:val="FirstParagraph"/>
      </w:pPr>
      <w:r>
        <w:t xml:space="preserve">Tu PC quiere hacer ping al gateway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protocolo que resuelve IP → MAC. Sin él, la capa 2 no sabe a quién enviar la trama.</w:t>
      </w:r>
    </w:p>
    <w:bookmarkEnd w:id="12"/>
    <w:bookmarkStart w:id="13" w:name="argumenta-contra-conrad"/>
    <w:p>
      <w:pPr>
        <w:pStyle w:val="Heading2"/>
      </w:pPr>
      <w:r>
        <w:t xml:space="preserve">4. Argumenta contra Conrad</w:t>
      </w:r>
    </w:p>
    <w:p>
      <w:pPr>
        <w:pStyle w:val="FirstParagraph"/>
      </w:pPr>
      <w:r>
        <w:t xml:space="preserve">Conrad afirma:</w:t>
      </w:r>
      <w:r>
        <w:t xml:space="preserve"> </w:t>
      </w:r>
      <w:r>
        <w:rPr>
          <w:i/>
          <w:iCs/>
        </w:rPr>
        <w:t xml:space="preserve">“Reiniciarlo todo es más rápido que diagnosticar”</w:t>
      </w:r>
      <w: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qué pierdes cuando reinicias sin diagnosticar (información, tiempo a largo plazo, confianza del usuario).</w:t>
      </w:r>
    </w:p>
    <w:bookmarkEnd w:id="13"/>
    <w:bookmarkStart w:id="14" w:name="diseña-la-red-del-aula"/>
    <w:p>
      <w:pPr>
        <w:pStyle w:val="Heading2"/>
      </w:pPr>
      <w:r>
        <w:t xml:space="preserve">5. Diseña la red del aula</w:t>
      </w:r>
    </w:p>
    <w:p>
      <w:pPr>
        <w:pStyle w:val="FirstParagraph"/>
      </w:pPr>
      <w: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¿cuántos puertos necesitas en total? ¿Un solo switch o varios?</w:t>
      </w:r>
    </w:p>
    <w:bookmarkEnd w:id="14"/>
    <w:bookmarkStart w:id="15" w:name="mente-binaria"/>
    <w:p>
      <w:pPr>
        <w:pStyle w:val="Heading2"/>
      </w:pPr>
      <w:r>
        <w:t xml:space="preserve">6. Mente binaria</w:t>
      </w:r>
    </w:p>
    <w:p>
      <w:pPr>
        <w:pStyle w:val="FirstParagraph"/>
      </w:pPr>
      <w:r>
        <w:t xml:space="preserve">Calcula sin calculadora:</w:t>
      </w:r>
    </w:p>
    <w:p>
      <w:pPr>
        <w:pStyle w:val="Compact"/>
        <w:numPr>
          <w:ilvl w:val="0"/>
          <w:numId w:val="1001"/>
        </w:numPr>
      </w:pPr>
      <w: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t xml:space="preserve">¿Cuántos bytes son 320 bits?</w:t>
      </w:r>
    </w:p>
    <w:p>
      <w:pPr>
        <w:pStyle w:val="Compact"/>
        <w:numPr>
          <w:ilvl w:val="0"/>
          <w:numId w:val="1001"/>
        </w:numPr>
      </w:pPr>
      <w:r>
        <w:t xml:space="preserve">La palabra</w:t>
      </w:r>
      <w:r>
        <w:t xml:space="preserve"> </w:t>
      </w:r>
      <w:r>
        <w:t xml:space="preserve">“HOLA”</w:t>
      </w:r>
      <w:r>
        <w:t xml:space="preserve"> </w:t>
      </w:r>
      <w:r>
        <w:t xml:space="preserve">tiene 4 letras y ocupa 4 bytes. ¿Cuántos bits son?</w:t>
      </w:r>
    </w:p>
    <w:bookmarkEnd w:id="15"/>
    <w:bookmarkStart w:id="16" w:name="el-mapa-del-curso"/>
    <w:p>
      <w:pPr>
        <w:pStyle w:val="Heading2"/>
      </w:pPr>
      <w:r>
        <w:t xml:space="preserve">7. El mapa del curso</w:t>
      </w:r>
    </w:p>
    <w:p>
      <w:pPr>
        <w:pStyle w:val="FirstParagraph"/>
      </w:pPr>
      <w:r>
        <w:t xml:space="preserve">Estamos al principio del curso,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saber qué es una red, no sabrías para qué configuras cada aparato.</w:t>
      </w:r>
    </w:p>
    <w:bookmarkEnd w:id="16"/>
    <w:bookmarkStart w:id="17" w:name="Xc8e5910c22462a634687887ceb7faf0b5be8d57"/>
    <w:p>
      <w:pPr>
        <w:pStyle w:val="Heading2"/>
      </w:pPr>
      <w:r>
        <w:t xml:space="preserve">8. El entorno de trabajo: Preparación del taller virtual</w:t>
      </w:r>
    </w:p>
    <w:p>
      <w:pPr>
        <w:pStyle w:val="FirstParagraph"/>
      </w:pPr>
      <w: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el riesgo de tocar hardware real sin saber y en qué hacer cuando el simulador no arranca.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2026-09-28T06:16:06Z</dcterms:created>
  <dcterms:modified xsi:type="dcterms:W3CDTF">2026-09-28T06:16:06Z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