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2a243d1e5ca6556fd4136880ce4b858b627a343"/>
    <w:p>
      <w:pPr>
        <w:pStyle w:val="Heading1"/>
      </w:pPr>
      <w:r>
        <w:t xml:space="preserve">Boletín de Ethernet y cableado — Inicial (Resuelto)</w:t>
      </w:r>
    </w:p>
    <w:bookmarkEnd w:id="9"/>
    <w:bookmarkStart w:id="20" w:name="X29ea916a8262c0b68577a5ad0c46e80114223c0"/>
    <w:p>
      <w:pPr>
        <w:pStyle w:val="Heading1"/>
      </w:pPr>
      <w:r>
        <w:t xml:space="preserve">✅ Boletín de Ethernet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bytes de trama en total: cabecera 14 + payload 46 + FCS 4)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(64 bytes de trama en total: 14 de cabecera + 46 + 4 de FCS).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2026-09-28T06:16:09Z</dcterms:created>
  <dcterms:modified xsi:type="dcterms:W3CDTF">2026-09-28T06:16:09Z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