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inicial"/>
    <w:p>
      <w:pPr>
        <w:pStyle w:val="Heading1"/>
      </w:pPr>
      <w:r>
        <w:t xml:space="preserve">Boletín de Servicios de red — Inicial</w:t>
      </w:r>
    </w:p>
    <w:bookmarkEnd w:id="9"/>
    <w:bookmarkStart w:id="18" w:name="boletín-de-servicios-de-red-inicial-1"/>
    <w:p>
      <w:pPr>
        <w:pStyle w:val="Heading1"/>
      </w:pPr>
      <w:r>
        <w:t xml:space="preserve">📝 Boletín de Servicios de red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</w:pPr>
            <w:r>
              <w:t xml:space="preserve">f) SOA/NS</w:t>
            </w:r>
          </w:p>
        </w:tc>
      </w:tr>
    </w:tbl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d) Vaciar la caché DNS</w:t>
            </w:r>
          </w:p>
        </w:tc>
      </w:tr>
    </w:tbl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2026-09-28T06:16:20Z</dcterms:created>
  <dcterms:modified xsi:type="dcterms:W3CDTF">2026-09-28T06:16:20Z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