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b1b2043ee889aecf83a8fcd665e04469e3df440"/>
    <w:p>
      <w:pPr>
        <w:pStyle w:val="Heading1"/>
      </w:pPr>
      <w:r>
        <w:t xml:space="preserve">Boletín de Direccionamiento IP · IPv6 — Inicial</w:t>
      </w:r>
    </w:p>
    <w:bookmarkEnd w:id="9"/>
    <w:bookmarkStart w:id="18" w:name="Xc643c0480aba399da8dd446d95e1aa0c206663b"/>
    <w:p>
      <w:pPr>
        <w:pStyle w:val="Heading1"/>
      </w:pPr>
      <w:r>
        <w:t xml:space="preserve">📝 Boletín de Direccionamiento IP · IPv6 — Inicial</w:t>
      </w:r>
    </w:p>
    <w:p>
      <w:pPr>
        <w:pStyle w:val="BlockText"/>
      </w:pPr>
      <w:r>
        <w:t xml:space="preserve">Ejercicios básicos para afianzar los conceptos de direccionamiento IPv6.</w:t>
      </w:r>
    </w:p>
    <w:p>
      <w:r>
        <w:pict>
          <v:rect style="width:0;height:1.5pt" o:hralign="center" o:hrstd="t" o:hr="t"/>
        </w:pict>
      </w:r>
    </w:p>
    <w:bookmarkStart w:id="10" w:name="compresión-de-direcciones"/>
    <w:p>
      <w:pPr>
        <w:pStyle w:val="Heading2"/>
      </w:pPr>
      <w:r>
        <w:t xml:space="preserve">1. Compresión de direcciones</w:t>
      </w:r>
    </w:p>
    <w:p>
      <w:pPr>
        <w:pStyle w:val="FirstParagraph"/>
      </w:pPr>
      <w:r>
        <w:t xml:space="preserve">Comprime estas direcciones IPv6 al máximo: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2001:0DB8:0000:0000:0000:0000:0000:0001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FE80:0000:0000:0000:02AA:00FF:FE9A:4CA2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0000:0000:0000:0000:0000:0000:0000:0001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2001:0DB8:0000:0000:ABCD:0000:0000:1234</w:t>
      </w:r>
    </w:p>
    <w:bookmarkEnd w:id="10"/>
    <w:bookmarkStart w:id="11" w:name="identifica-el-tipo"/>
    <w:p>
      <w:pPr>
        <w:pStyle w:val="Heading2"/>
      </w:pPr>
      <w:r>
        <w:t xml:space="preserve">2. Identifica el tipo</w:t>
      </w:r>
    </w:p>
    <w:p>
      <w:pPr>
        <w:pStyle w:val="FirstParagraph"/>
      </w:pPr>
      <w:r>
        <w:t xml:space="preserve">Indica qué tipo de dirección IPv6 es cada una: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2001:DB8::1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FE80::1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::1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FC00::1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FF02::1</w:t>
      </w:r>
    </w:p>
    <w:bookmarkEnd w:id="11"/>
    <w:bookmarkStart w:id="12" w:name="completa"/>
    <w:p>
      <w:pPr>
        <w:pStyle w:val="Heading2"/>
      </w:pPr>
      <w:r>
        <w:t xml:space="preserve">3. Completa</w:t>
      </w:r>
    </w:p>
    <w:p>
      <w:pPr>
        <w:pStyle w:val="FirstParagraph"/>
      </w:pPr>
      <w:r>
        <w:t xml:space="preserve">Completa las equivalencias:</w:t>
      </w:r>
    </w:p>
    <w:p>
      <w:pPr>
        <w:pStyle w:val="Compact"/>
        <w:numPr>
          <w:ilvl w:val="0"/>
          <w:numId w:val="1003"/>
        </w:numPr>
      </w:pPr>
      <w:r>
        <w:t xml:space="preserve">IPv4 tiene __ bits, IPv6 tiene __ bits.</w:t>
      </w:r>
    </w:p>
    <w:p>
      <w:pPr>
        <w:pStyle w:val="Compact"/>
        <w:numPr>
          <w:ilvl w:val="0"/>
          <w:numId w:val="1003"/>
        </w:numPr>
      </w:pPr>
      <w:r>
        <w:t xml:space="preserve">IPv4 se representa en decimal, IPv6 en __.</w:t>
      </w:r>
    </w:p>
    <w:p>
      <w:pPr>
        <w:pStyle w:val="Compact"/>
        <w:numPr>
          <w:ilvl w:val="0"/>
          <w:numId w:val="1003"/>
        </w:numPr>
      </w:pPr>
      <w:r>
        <w:t xml:space="preserve">El prefijo de Link-Local es __.</w:t>
      </w:r>
    </w:p>
    <w:p>
      <w:pPr>
        <w:pStyle w:val="Compact"/>
        <w:numPr>
          <w:ilvl w:val="0"/>
          <w:numId w:val="1003"/>
        </w:numPr>
      </w:pPr>
      <w:r>
        <w:t xml:space="preserve">El prefijo de Global Unicast es __.</w:t>
      </w:r>
    </w:p>
    <w:p>
      <w:pPr>
        <w:pStyle w:val="Compact"/>
        <w:numPr>
          <w:ilvl w:val="0"/>
          <w:numId w:val="1003"/>
        </w:numPr>
      </w:pPr>
      <w:r>
        <w:t xml:space="preserve">__ reemplaza a ARP en IPv6.</w:t>
      </w:r>
    </w:p>
    <w:bookmarkEnd w:id="12"/>
    <w:bookmarkStart w:id="13" w:name="verdadero-o-falso"/>
    <w:p>
      <w:pPr>
        <w:pStyle w:val="Heading2"/>
      </w:pPr>
      <w:r>
        <w:t xml:space="preserve">4. Verdadero o falso</w:t>
      </w:r>
    </w:p>
    <w:p>
      <w:pPr>
        <w:pStyle w:val="Compact"/>
        <w:numPr>
          <w:ilvl w:val="0"/>
          <w:numId w:val="1004"/>
        </w:numPr>
      </w:pPr>
      <w:r>
        <w:t xml:space="preserve">Las direcciones Link-Local son enrutables en Internet.</w:t>
      </w:r>
    </w:p>
    <w:p>
      <w:pPr>
        <w:pStyle w:val="Compact"/>
        <w:numPr>
          <w:ilvl w:val="0"/>
          <w:numId w:val="1004"/>
        </w:numPr>
      </w:pPr>
      <w:r>
        <w:t xml:space="preserve">SLAAC no necesita un servidor central.</w:t>
      </w:r>
    </w:p>
    <w:p>
      <w:pPr>
        <w:pStyle w:val="Compact"/>
        <w:numPr>
          <w:ilvl w:val="0"/>
          <w:numId w:val="1004"/>
        </w:numPr>
      </w:pPr>
      <w:r>
        <w:t xml:space="preserve">:: se puede usar varias veces en la misma dirección IPv6.</w:t>
      </w:r>
    </w:p>
    <w:p>
      <w:pPr>
        <w:pStyle w:val="Compact"/>
        <w:numPr>
          <w:ilvl w:val="0"/>
          <w:numId w:val="1004"/>
        </w:numPr>
      </w:pPr>
      <w:r>
        <w:t xml:space="preserve">DHCPv6 funciona igual que DHCP en IPv4.</w:t>
      </w:r>
    </w:p>
    <w:p>
      <w:pPr>
        <w:pStyle w:val="Compact"/>
        <w:numPr>
          <w:ilvl w:val="0"/>
          <w:numId w:val="1004"/>
        </w:numPr>
      </w:pPr>
      <w:r>
        <w:t xml:space="preserve">Dual Stack significa tener IPv4 e IPv6 simultáneamente.</w:t>
      </w:r>
    </w:p>
    <w:bookmarkEnd w:id="13"/>
    <w:bookmarkStart w:id="14" w:name="ndp"/>
    <w:p>
      <w:pPr>
        <w:pStyle w:val="Heading2"/>
      </w:pPr>
      <w:r>
        <w:t xml:space="preserve">5. NDP</w:t>
      </w:r>
    </w:p>
    <w:p>
      <w:pPr>
        <w:pStyle w:val="FirstParagraph"/>
      </w:pPr>
      <w:r>
        <w:t xml:space="preserve">Relaciona cada mensaje ICMPv6 con su función: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Neighbor Solicitation</w:t>
            </w:r>
          </w:p>
        </w:tc>
        <w:tc>
          <w:tcPr/>
          <w:p>
            <w:pPr>
              <w:pStyle w:val="Compact"/>
            </w:pPr>
            <w:r>
              <w:t xml:space="preserve">a) El router anuncia su prefijo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Neighbor Advertisement</w:t>
            </w:r>
          </w:p>
        </w:tc>
        <w:tc>
          <w:tcPr/>
          <w:p>
            <w:pPr>
              <w:pStyle w:val="Compact"/>
            </w:pPr>
            <w:r>
              <w:t xml:space="preserve">b) El dispositivo busca routers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Router Solicitation</w:t>
            </w:r>
          </w:p>
        </w:tc>
        <w:tc>
          <w:tcPr/>
          <w:p>
            <w:pPr>
              <w:pStyle w:val="Compact"/>
            </w:pPr>
            <w:r>
              <w:t xml:space="preserve">c)</w:t>
            </w:r>
            <w:r>
              <w:t xml:space="preserve"> </w:t>
            </w:r>
            <w:r>
              <w:t xml:space="preserve">“¿Quién tiene esta IP?”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Router Advertisement</w:t>
            </w:r>
          </w:p>
        </w:tc>
        <w:tc>
          <w:tcPr/>
          <w:p>
            <w:pPr>
              <w:pStyle w:val="Compact"/>
            </w:pPr>
            <w:r>
              <w:t xml:space="preserve">d)</w:t>
            </w:r>
            <w:r>
              <w:t xml:space="preserve"> </w:t>
            </w:r>
            <w:r>
              <w:t xml:space="preserve">“Yo tengo esa IP, aquí está mi MAC”</w:t>
            </w:r>
          </w:p>
        </w:tc>
      </w:tr>
    </w:tbl>
    <w:bookmarkEnd w:id="14"/>
    <w:bookmarkStart w:id="15" w:name="mecanismos-de-transición"/>
    <w:p>
      <w:pPr>
        <w:pStyle w:val="Heading2"/>
      </w:pPr>
      <w:r>
        <w:t xml:space="preserve">6. Mecanismos de transición</w:t>
      </w:r>
    </w:p>
    <w:p>
      <w:pPr>
        <w:pStyle w:val="FirstParagraph"/>
      </w:pPr>
      <w:r>
        <w:t xml:space="preserve">Relaciona cada mecanismo con su descripción: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Dual Stack</w:t>
            </w:r>
          </w:p>
        </w:tc>
        <w:tc>
          <w:tcPr/>
          <w:p>
            <w:pPr>
              <w:pStyle w:val="Compact"/>
            </w:pPr>
            <w:r>
              <w:t xml:space="preserve">a) Traduce IPv6 a IPv4 para acceder a servidores antiguos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Túnel 6to4</w:t>
            </w:r>
          </w:p>
        </w:tc>
        <w:tc>
          <w:tcPr/>
          <w:p>
            <w:pPr>
              <w:pStyle w:val="Compact"/>
            </w:pPr>
            <w:r>
              <w:t xml:space="preserve">b) IPv4 e IPv6 funcionando a la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NAT64</w:t>
            </w:r>
          </w:p>
        </w:tc>
        <w:tc>
          <w:tcPr/>
          <w:p>
            <w:pPr>
              <w:pStyle w:val="Compact"/>
            </w:pPr>
            <w:r>
              <w:t xml:space="preserve">c) Encapsula IPv6 dentro de IPv4</w:t>
            </w:r>
          </w:p>
        </w:tc>
      </w:tr>
    </w:tbl>
    <w:bookmarkEnd w:id="15"/>
    <w:bookmarkStart w:id="16" w:name="expande-direcciones"/>
    <w:p>
      <w:pPr>
        <w:pStyle w:val="Heading2"/>
      </w:pPr>
      <w:r>
        <w:t xml:space="preserve">7. Expande direcciones</w:t>
      </w:r>
    </w:p>
    <w:p>
      <w:pPr>
        <w:pStyle w:val="FirstParagraph"/>
      </w:pPr>
      <w:r>
        <w:t xml:space="preserve">Descomprime estas direcciones a su forma</w:t>
      </w:r>
      <w:r>
        <w:t xml:space="preserve"> </w:t>
      </w:r>
      <w:r>
        <w:rPr>
          <w:b/>
          <w:bCs/>
        </w:rPr>
        <w:t xml:space="preserve">completa de 8 grupos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2001:DB8::1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FE80::2AA:FF:FE9A:4CA2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::1</w:t>
      </w:r>
    </w:p>
    <w:p>
      <w:pPr>
        <w:pStyle w:val="FirstParagraph"/>
      </w:pPr>
      <w:r>
        <w:t xml:space="preserve">Recuerda: el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oculta tantos grupos de ceros como falten para completar 8.</w:t>
      </w:r>
    </w:p>
    <w:bookmarkEnd w:id="16"/>
    <w:bookmarkStart w:id="17" w:name="clasifica-tipo-y-ámbito"/>
    <w:p>
      <w:pPr>
        <w:pStyle w:val="Heading2"/>
      </w:pPr>
      <w:r>
        <w:t xml:space="preserve">8. Clasifica tipo y ámbito</w:t>
      </w:r>
    </w:p>
    <w:p>
      <w:pPr>
        <w:pStyle w:val="FirstParagraph"/>
      </w:pPr>
      <w:r>
        <w:t xml:space="preserve">Indica para cada dirección su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(GUA, LLA, ULA, Loopback, Multicast) y su</w:t>
      </w:r>
      <w:r>
        <w:t xml:space="preserve"> </w:t>
      </w:r>
      <w:r>
        <w:rPr>
          <w:b/>
          <w:bCs/>
        </w:rPr>
        <w:t xml:space="preserve">ámbito</w:t>
      </w:r>
      <w:r>
        <w:t xml:space="preserve"> </w:t>
      </w:r>
      <w:r>
        <w:t xml:space="preserve">(global, enlace local, privado, este nodo):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Ámbito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  <w:r>
              <w:t xml:space="preserve"> </w:t>
            </w:r>
            <w:r>
              <w:rPr>
                <w:rStyle w:val="VerbatimChar"/>
              </w:rPr>
              <w:t xml:space="preserve">2001:DB8::1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  <w:r>
              <w:t xml:space="preserve"> </w:t>
            </w:r>
            <w:r>
              <w:rPr>
                <w:rStyle w:val="VerbatimChar"/>
              </w:rPr>
              <w:t xml:space="preserve">FE80::1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  <w:r>
              <w:t xml:space="preserve"> </w:t>
            </w:r>
            <w:r>
              <w:rPr>
                <w:rStyle w:val="VerbatimChar"/>
              </w:rPr>
              <w:t xml:space="preserve">FC00::1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  <w:r>
              <w:t xml:space="preserve"> </w:t>
            </w:r>
            <w:r>
              <w:rPr>
                <w:rStyle w:val="VerbatimChar"/>
              </w:rPr>
              <w:t xml:space="preserve">::1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e)</w:t>
            </w:r>
            <w:r>
              <w:t xml:space="preserve"> </w:t>
            </w:r>
            <w:r>
              <w:rPr>
                <w:rStyle w:val="VerbatimChar"/>
              </w:rPr>
              <w:t xml:space="preserve">FF02::1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  <w:r>
              <w:t xml:space="preserve"> </w:t>
            </w:r>
            <w:r>
              <w:rPr>
                <w:rStyle w:val="VerbatimChar"/>
              </w:rPr>
              <w:t xml:space="preserve">2001:DB8:1:2:21A:2BFF:FE3C:4D5E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2026-09-27T11:11:00Z</dcterms:created>
  <dcterms:modified xsi:type="dcterms:W3CDTF">2026-09-27T11:11:00Z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