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ospf-inicial-resuelto"/>
    <w:p>
      <w:pPr>
        <w:pStyle w:val="Heading1"/>
      </w:pPr>
      <w:r>
        <w:t xml:space="preserve">Boletín de OSPF — Inicial (Resuelto)</w:t>
      </w:r>
    </w:p>
    <w:bookmarkEnd w:id="9"/>
    <w:bookmarkStart w:id="18" w:name="boletín-de-ospf-inicial-resuelto-1"/>
    <w:p>
      <w:pPr>
        <w:pStyle w:val="Heading1"/>
      </w:pPr>
      <w:r>
        <w:t xml:space="preserve">✅ Boletín de OSPF — Inicial (Resuelto)</w:t>
      </w:r>
    </w:p>
    <w:p>
      <w:r>
        <w:pict>
          <v:rect style="width:0;height:1.5pt" o:hralign="center" o:hrstd="t" o:hr="t"/>
        </w:pict>
      </w:r>
    </w:p>
    <w:bookmarkStart w:id="10" w:name="igp-vs-egp"/>
    <w:p>
      <w:pPr>
        <w:pStyle w:val="Heading2"/>
      </w:pPr>
      <w:r>
        <w:t xml:space="preserve">1. IGP vs EGP</w:t>
      </w:r>
    </w:p>
    <w:p>
      <w:pPr>
        <w:pStyle w:val="Compact"/>
        <w:numPr>
          <w:ilvl w:val="0"/>
          <w:numId w:val="1001"/>
        </w:numPr>
      </w:pPr>
      <w:r>
        <w:t xml:space="preserve">OSPF →</w:t>
      </w:r>
      <w:r>
        <w:t xml:space="preserve"> </w:t>
      </w:r>
      <w:r>
        <w:rPr>
          <w:b/>
          <w:bCs/>
        </w:rPr>
        <w:t xml:space="preserve">IGP</w:t>
      </w:r>
    </w:p>
    <w:p>
      <w:pPr>
        <w:pStyle w:val="Compact"/>
        <w:numPr>
          <w:ilvl w:val="0"/>
          <w:numId w:val="1001"/>
        </w:numPr>
      </w:pPr>
      <w:r>
        <w:t xml:space="preserve">BGP →</w:t>
      </w:r>
      <w:r>
        <w:t xml:space="preserve"> </w:t>
      </w:r>
      <w:r>
        <w:rPr>
          <w:b/>
          <w:bCs/>
        </w:rPr>
        <w:t xml:space="preserve">EGP</w:t>
      </w:r>
    </w:p>
    <w:p>
      <w:pPr>
        <w:pStyle w:val="Compact"/>
        <w:numPr>
          <w:ilvl w:val="0"/>
          <w:numId w:val="1001"/>
        </w:numPr>
      </w:pPr>
      <w:r>
        <w:t xml:space="preserve">RIP →</w:t>
      </w:r>
      <w:r>
        <w:t xml:space="preserve"> </w:t>
      </w:r>
      <w:r>
        <w:rPr>
          <w:b/>
          <w:bCs/>
        </w:rPr>
        <w:t xml:space="preserve">IGP</w:t>
      </w:r>
    </w:p>
    <w:p>
      <w:pPr>
        <w:pStyle w:val="Compact"/>
        <w:numPr>
          <w:ilvl w:val="0"/>
          <w:numId w:val="1001"/>
        </w:numPr>
      </w:pPr>
      <w:r>
        <w:t xml:space="preserve">EIGRP →</w:t>
      </w:r>
      <w:r>
        <w:t xml:space="preserve"> </w:t>
      </w:r>
      <w:r>
        <w:rPr>
          <w:b/>
          <w:bCs/>
        </w:rPr>
        <w:t xml:space="preserve">IGP</w:t>
      </w:r>
      <w:r>
        <w:t xml:space="preserve"> </w:t>
      </w:r>
      <w:r>
        <w:t xml:space="preserve">(propietario Cisco, pero interior)</w:t>
      </w:r>
    </w:p>
    <w:bookmarkEnd w:id="10"/>
    <w:bookmarkStart w:id="11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OSPF usa SPF (Dijkstra) para calcular la ruta más corta.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RIP máximo 15 saltos. 16 = inalcanzable.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Todas las áreas deben conectarse al Área 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El Router ID debe ser único o las adyacencias fallan.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OSPF converge en segundos, RIP tarda minutos.</w:t>
      </w:r>
    </w:p>
    <w:bookmarkEnd w:id="11"/>
    <w:bookmarkStart w:id="12" w:name="relaciona"/>
    <w:p>
      <w:pPr>
        <w:pStyle w:val="Heading2"/>
      </w:pPr>
      <w:r>
        <w:t xml:space="preserve">3. Relaciona</w:t>
      </w:r>
    </w:p>
    <w:p>
      <w:pPr>
        <w:pStyle w:val="FirstParagraph"/>
      </w:pPr>
      <w:r>
        <w:t xml:space="preserve">1 → b (LSA = Link State Advertisement)</w:t>
      </w:r>
      <w:r>
        <w:t xml:space="preserve"> </w:t>
      </w:r>
      <w:r>
        <w:t xml:space="preserve">2 → c (LSDB = Link State Database)</w:t>
      </w:r>
      <w:r>
        <w:t xml:space="preserve"> </w:t>
      </w:r>
      <w:r>
        <w:t xml:space="preserve">3 → a (ABR = Area Border Router)</w:t>
      </w:r>
      <w:r>
        <w:t xml:space="preserve"> </w:t>
      </w:r>
      <w:r>
        <w:t xml:space="preserve">4 → d (SPF = Shortest Path First)</w:t>
      </w:r>
    </w:p>
    <w:bookmarkEnd w:id="12"/>
    <w:bookmarkStart w:id="13" w:name="coste-ospf"/>
    <w:p>
      <w:pPr>
        <w:pStyle w:val="Heading2"/>
      </w:pPr>
      <w:r>
        <w:t xml:space="preserve">4. Coste OSPF</w:t>
      </w:r>
    </w:p>
    <w:p>
      <w:pPr>
        <w:pStyle w:val="Compact"/>
        <w:numPr>
          <w:ilvl w:val="0"/>
          <w:numId w:val="1003"/>
        </w:numPr>
      </w:pPr>
      <w:r>
        <w:t xml:space="preserve">100 Mbps →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(10⁸ / 100×10⁶ = 1)</w:t>
      </w:r>
    </w:p>
    <w:p>
      <w:pPr>
        <w:pStyle w:val="Compact"/>
        <w:numPr>
          <w:ilvl w:val="0"/>
          <w:numId w:val="1003"/>
        </w:numPr>
      </w:pPr>
      <w:r>
        <w:t xml:space="preserve">1 Gbps →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(el coste mínimo es 1)</w:t>
      </w:r>
    </w:p>
    <w:p>
      <w:pPr>
        <w:pStyle w:val="Compact"/>
        <w:numPr>
          <w:ilvl w:val="0"/>
          <w:numId w:val="1003"/>
        </w:numPr>
      </w:pPr>
      <w:r>
        <w:t xml:space="preserve">1.544 Mbps →</w:t>
      </w:r>
      <w:r>
        <w:t xml:space="preserve"> </w:t>
      </w:r>
      <w:r>
        <w:rPr>
          <w:b/>
          <w:bCs/>
        </w:rPr>
        <w:t xml:space="preserve">64</w:t>
      </w:r>
      <w:r>
        <w:t xml:space="preserve"> </w:t>
      </w:r>
      <w:r>
        <w:t xml:space="preserve">(10⁸ / 1.544×10⁶ ≈ 64)</w:t>
      </w:r>
    </w:p>
    <w:bookmarkEnd w:id="13"/>
    <w:bookmarkStart w:id="14" w:name="completa"/>
    <w:p>
      <w:pPr>
        <w:pStyle w:val="Heading2"/>
      </w:pPr>
      <w:r>
        <w:t xml:space="preserve">5. Completa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router ospf 1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network 192.168.1.0 0.0.0.255 area 0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default-information originate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show ip ospf neighbor</w:t>
      </w:r>
    </w:p>
    <w:bookmarkEnd w:id="14"/>
    <w:bookmarkStart w:id="15" w:name="tipos-de-routers"/>
    <w:p>
      <w:pPr>
        <w:pStyle w:val="Heading2"/>
      </w:pPr>
      <w:r>
        <w:t xml:space="preserve">6. Tipos de routers</w:t>
      </w:r>
    </w:p>
    <w:p>
      <w:pPr>
        <w:pStyle w:val="FirstParagraph"/>
      </w:pPr>
      <w:r>
        <w:t xml:space="preserve">1 → c (Internal Router: misma área)</w:t>
      </w:r>
      <w:r>
        <w:t xml:space="preserve"> </w:t>
      </w:r>
      <w:r>
        <w:t xml:space="preserve">2 → b (ABR: conecta áreas)</w:t>
      </w:r>
      <w:r>
        <w:t xml:space="preserve"> </w:t>
      </w:r>
      <w:r>
        <w:t xml:space="preserve">3 → a (ASBR: rutas externas)</w:t>
      </w:r>
    </w:p>
    <w:bookmarkEnd w:id="15"/>
    <w:bookmarkStart w:id="16" w:name="dinámico-vs-estático"/>
    <w:p>
      <w:pPr>
        <w:pStyle w:val="Heading2"/>
      </w:pPr>
      <w:r>
        <w:t xml:space="preserve">7. Dinámico vs estático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OSPF → IGP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RIP → IGP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BGP → EGP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EIGRP → IGP</w:t>
      </w:r>
      <w:r>
        <w:t xml:space="preserve"> </w:t>
      </w:r>
      <w:r>
        <w:t xml:space="preserve">(interior, aunque propietario de Cisco)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Ventajas del dinámico: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Autoaprendizaje:</w:t>
      </w:r>
      <w:r>
        <w:t xml:space="preserve"> </w:t>
      </w:r>
      <w:r>
        <w:t xml:space="preserve">las redes nuevas se comparten solas, sin ir router por router.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Convergencia automática:</w:t>
      </w:r>
      <w:r>
        <w:t xml:space="preserve"> </w:t>
      </w:r>
      <w:r>
        <w:t xml:space="preserve">si cae un enlace, la red recalcula y se reencamina sin intervención.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Menos error humano:</w:t>
      </w:r>
      <w:r>
        <w:t xml:space="preserve"> </w:t>
      </w:r>
      <w:r>
        <w:t xml:space="preserve">la tabla de rutas la calcula el protocolo, no un administrador tecleando.</w:t>
      </w:r>
    </w:p>
    <w:p>
      <w:pPr>
        <w:pStyle w:val="FirstParagraph"/>
      </w:pPr>
      <w:r>
        <w:rPr>
          <w:b/>
          <w:bCs/>
        </w:rPr>
        <w:t xml:space="preserve">Caso para estático:</w:t>
      </w:r>
      <w:r>
        <w:t xml:space="preserve"> </w:t>
      </w:r>
      <w:r>
        <w:t xml:space="preserve">redes muy pequeñas (2-3 routers), un enlace</w:t>
      </w:r>
      <w:r>
        <w:t xml:space="preserve"> </w:t>
      </w:r>
      <w:r>
        <w:rPr>
          <w:b/>
          <w:bCs/>
        </w:rPr>
        <w:t xml:space="preserve">stub</w:t>
      </w:r>
      <w:r>
        <w:t xml:space="preserve"> </w:t>
      </w:r>
      <w:r>
        <w:t xml:space="preserve">con una única salida, o una ruta de respaldo a mano (</w:t>
      </w:r>
      <w:r>
        <w:rPr>
          <w:rStyle w:val="VerbatimChar"/>
        </w:rPr>
        <w:t xml:space="preserve">floating static</w:t>
      </w:r>
      <w:r>
        <w:t xml:space="preserve">): ahí el dinámico solo añadiría tráfico y complejidad.</w:t>
      </w:r>
    </w:p>
    <w:bookmarkEnd w:id="16"/>
    <w:bookmarkStart w:id="17" w:name="coste-ospf-tabla-de-velocidades"/>
    <w:p>
      <w:pPr>
        <w:pStyle w:val="Heading2"/>
      </w:pPr>
      <w:r>
        <w:t xml:space="preserve">8. Coste OSPF: tabla de velocidades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Coste OSPF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Mbps</w:t>
            </w:r>
          </w:p>
        </w:tc>
        <w:tc>
          <w:tcPr/>
          <w:p>
            <w:pPr>
              <w:pStyle w:val="Compact"/>
            </w:pPr>
            <w:r>
              <w:t xml:space="preserve">10⁸ / 10⁷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Mbps</w:t>
            </w:r>
          </w:p>
        </w:tc>
        <w:tc>
          <w:tcPr/>
          <w:p>
            <w:pPr>
              <w:pStyle w:val="Compact"/>
            </w:pPr>
            <w:r>
              <w:t xml:space="preserve">10⁸ / 10⁸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Gbps</w:t>
            </w:r>
          </w:p>
        </w:tc>
        <w:tc>
          <w:tcPr/>
          <w:p>
            <w:pPr>
              <w:pStyle w:val="Compact"/>
            </w:pPr>
            <w:r>
              <w:t xml:space="preserve">10⁸ / 10⁹ = 0,1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(mínimo)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1.544 Mbps (T1)</w:t>
            </w:r>
          </w:p>
        </w:tc>
        <w:tc>
          <w:tcPr/>
          <w:p>
            <w:pPr>
              <w:pStyle w:val="Compact"/>
            </w:pPr>
            <w:r>
              <w:t xml:space="preserve">10⁸ / 1.544.000 ≈ 64,8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</w:t>
            </w:r>
          </w:p>
        </w:tc>
      </w:tr>
    </w:tbl>
    <w:p>
      <w:pPr>
        <w:pStyle w:val="BlockText"/>
      </w:pPr>
      <w:r>
        <w:t xml:space="preserve">El coste mínimo es</w:t>
      </w:r>
      <w:r>
        <w:t xml:space="preserve"> </w:t>
      </w:r>
      <w:r>
        <w:rPr>
          <w:b/>
          <w:bCs/>
        </w:rPr>
        <w:t xml:space="preserve">1</w:t>
      </w:r>
      <w:r>
        <w:t xml:space="preserve">: todos los enlaces de 100 Mbps en adelante valen lo mismo por defecto, salvo que subas el</w:t>
      </w:r>
      <w:r>
        <w:t xml:space="preserve"> </w:t>
      </w:r>
      <w:r>
        <w:rPr>
          <w:rStyle w:val="VerbatimChar"/>
        </w:rPr>
        <w:t xml:space="preserve">auto-cost reference-bandwidth</w:t>
      </w:r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2026-09-27T11:11:07Z</dcterms:created>
  <dcterms:modified xsi:type="dcterms:W3CDTF">2026-09-27T11:11:07Z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