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"/>
    <w:p>
      <w:pPr>
        <w:pStyle w:val="Heading1"/>
      </w:pPr>
      <w:r>
        <w:t xml:space="preserve">Boletín de NAT y PAT — Inicial</w:t>
      </w:r>
    </w:p>
    <w:bookmarkEnd w:id="9"/>
    <w:bookmarkStart w:id="18" w:name="boletín-de-nat-y-pat-inicial-1"/>
    <w:p>
      <w:pPr>
        <w:pStyle w:val="Heading1"/>
      </w:pPr>
      <w:r>
        <w:t xml:space="preserve">📝 Boletín de NAT y PAT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t xml:space="preserve">C. Se asigna una IP pública de un pool disponible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 La oficina tiene un pool de 4 IPs públicas (83.45.12.78-81)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2026-09-28T09:19:59Z</dcterms:created>
  <dcterms:modified xsi:type="dcterms:W3CDTF">2026-09-28T09:19:59Z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