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9a381fcfa8b5db1a8f3ae7896b07f7775b65af"/>
    <w:p>
      <w:pPr>
        <w:pStyle w:val="Heading1"/>
      </w:pPr>
      <w:r>
        <w:t xml:space="preserve">Boletín de Ethernet y cableado — Packet Tracer resuelto</w:t>
      </w:r>
    </w:p>
    <w:bookmarkEnd w:id="9"/>
    <w:bookmarkStart w:id="21" w:name="Xb4728bdd5debb2ff03c1f7ae62b359010a4299d"/>
    <w:p>
      <w:pPr>
        <w:pStyle w:val="Heading1"/>
      </w:pPr>
      <w:r>
        <w:t xml:space="preserve">✅ Boletín de Ethernet y cableado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2026-09-27T10:10:03Z</dcterms:created>
  <dcterms:modified xsi:type="dcterms:W3CDTF">2026-09-27T10:10:03Z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