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-resuelto"/>
    <w:p>
      <w:pPr>
        <w:pStyle w:val="Heading1"/>
      </w:pPr>
      <w:r>
        <w:t xml:space="preserve">Boletín de OSPF — Avanzado (Resuelto)</w:t>
      </w:r>
    </w:p>
    <w:bookmarkEnd w:id="9"/>
    <w:bookmarkStart w:id="18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se ve directamente.</w:t>
      </w:r>
      <w:r>
        <w:t xml:space="preserve"> </w:t>
      </w:r>
      <w:r>
        <w:t xml:space="preserve">Pero por contexto, si este router tiene vecinos en G0/0 y G0/1, su Router ID podría ser otro (el más alto de sus loopbacks o interfaces físicas).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t xml:space="preserve">La redistribución +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propaga ambas rutas a todos los routers OSPF en todas las áreas.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1+1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1+1+1 = 3</w:t>
      </w:r>
      <w:r>
        <w:t xml:space="preserve">. OSPF elige el camino con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 el mismo coste si todos los enlaces son del mismo tipo. Si ambos tienen coste 1+1+1 vs 1+1+1+1, gana el de 3 saltos (menos coste).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Prioridad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significa que el router</w:t>
      </w:r>
      <w:r>
        <w:t xml:space="preserve"> </w:t>
      </w:r>
      <w:r>
        <w:rPr>
          <w:b/>
          <w:bCs/>
        </w:rPr>
        <w:t xml:space="preserve">no participa</w:t>
      </w:r>
      <w:r>
        <w:t xml:space="preserve"> </w:t>
      </w:r>
      <w:r>
        <w:t xml:space="preserve">en la elección de DR/BDR. Nunca será DR ni BDR.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solo ocurre al iniciar OSPF o al reiniciar el proceso)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“up/up”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solo ocurre al arrancar OSPF o al reiniciar el proceso;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2026-09-27T10:10:12Z</dcterms:created>
  <dcterms:modified xsi:type="dcterms:W3CDTF">2026-09-27T10:10:12Z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