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-resuelto"/>
    <w:p>
      <w:pPr>
        <w:pStyle w:val="Heading1"/>
      </w:pPr>
      <w:r>
        <w:t xml:space="preserve">Boletín de OSPF — Avanzado (Resuelto)</w:t>
      </w:r>
    </w:p>
    <w:bookmarkEnd w:id="9"/>
    <w:bookmarkStart w:id="18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aparece en esa salida</w:t>
      </w:r>
      <w:r>
        <w:t xml:space="preserve"> </w:t>
      </w:r>
      <w:r>
        <w:t xml:space="preserve">(los</w:t>
      </w:r>
      <w:r>
        <w:t xml:space="preserve"> </w:t>
      </w:r>
      <w:r>
        <w:rPr>
          <w:rStyle w:val="VerbatimChar"/>
        </w:rPr>
        <w:t xml:space="preserve">Neighbor ID</w:t>
      </w:r>
      <w:r>
        <w:t xml:space="preserve"> </w:t>
      </w:r>
      <w:r>
        <w:t xml:space="preserve">son los de los vecinos): no es 3.3.3.3 ni 4.4.4.4, y a juzgar por los estados este router es</w:t>
      </w:r>
      <w:r>
        <w:t xml:space="preserve"> </w:t>
      </w:r>
      <w:r>
        <w:rPr>
          <w:b/>
          <w:bCs/>
        </w:rPr>
        <w:t xml:space="preserve">DROTHER</w:t>
      </w:r>
      <w:r>
        <w:t xml:space="preserve"> </w:t>
      </w:r>
      <w:r>
        <w:t xml:space="preserve">— si fuera BDR, el vecino 4.4.4.4 estaría en FULL con él, no en 2WAY. El tuyo lo ves con</w:t>
      </w:r>
      <w:r>
        <w:t xml:space="preserve"> </w:t>
      </w:r>
      <w:r>
        <w:rPr>
          <w:rStyle w:val="VerbatimChar"/>
        </w:rPr>
        <w:t xml:space="preserve">show ip ospf</w:t>
      </w:r>
      <w:r>
        <w:t xml:space="preserve">.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en OSPF las dos estáticas de la tabla (tanto la 10.100.0.0/16 como la 0.0.0.0/0) y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se asegura de anunciar además la ruta por defecto como externa E2: entre los dos comandos, todos los routers OSPF terminan aprendiendo las dos rutas.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 + 1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 + 1 + 1 = 3</w:t>
      </w:r>
      <w:r>
        <w:t xml:space="preserve">. OSPF elige el de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se hace al iniciar OSPF, al reiniciar el proceso o si falla el DR: el BDR asciende y se elige otro)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“up/up”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se hace al arrancar OSPF, al reiniciar el proceso o si falla el DR (el BDR asciende);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2026-10-22T08:45:21Z</dcterms:created>
  <dcterms:modified xsi:type="dcterms:W3CDTF">2026-10-22T08:45:21Z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