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9c2442c65b9ea36a6d495993a33f9bdbcafbbd5"/>
    <w:p>
      <w:pPr>
        <w:pStyle w:val="Heading1"/>
      </w:pPr>
      <w:r>
        <w:t xml:space="preserve">Boletín de Ethernet y cableado — Avanzado (Resuelto)</w:t>
      </w:r>
    </w:p>
    <w:bookmarkEnd w:id="9"/>
    <w:bookmarkStart w:id="18" w:name="Xbde25e037e3613c26ce5a6fea82986b506799f4"/>
    <w:p>
      <w:pPr>
        <w:pStyle w:val="Heading1"/>
      </w:pPr>
      <w:r>
        <w:t xml:space="preserve">✅ Boletín de Ethernet y cableado — Avanzado (Resuelto)</w:t>
      </w:r>
    </w:p>
    <w:p>
      <w:r>
        <w:pict>
          <v:rect style="width:0;height:1.5pt" o:hralign="center" o:hrstd="t" o:hr="t"/>
        </w:pict>
      </w:r>
    </w:p>
    <w:bookmarkStart w:id="10" w:name="diagnóstico-de-cableado"/>
    <w:p>
      <w:pPr>
        <w:pStyle w:val="Heading2"/>
      </w:pPr>
      <w:r>
        <w:t xml:space="preserve">1. Diagnóstico de cableado</w:t>
      </w:r>
    </w:p>
    <w:p>
      <w:pPr>
        <w:numPr>
          <w:ilvl w:val="0"/>
          <w:numId w:val="1001"/>
        </w:numPr>
      </w:pPr>
      <w:r>
        <w:rPr>
          <w:b/>
          <w:bCs/>
        </w:rPr>
        <w:t xml:space="preserve">Causas posibles:</w:t>
      </w:r>
    </w:p>
    <w:p>
      <w:pPr>
        <w:pStyle w:val="Compact"/>
        <w:numPr>
          <w:ilvl w:val="1"/>
          <w:numId w:val="1002"/>
        </w:numPr>
      </w:pPr>
      <w:r>
        <w:t xml:space="preserve">Solo 2 pares conectados (mal crimpado) → negociación a 100 Mbps</w:t>
      </w:r>
    </w:p>
    <w:p>
      <w:pPr>
        <w:pStyle w:val="Compact"/>
        <w:numPr>
          <w:ilvl w:val="1"/>
          <w:numId w:val="1002"/>
        </w:numPr>
      </w:pPr>
      <w:r>
        <w:t xml:space="preserve">Cable Cat5e dañado o de mala calidad</w:t>
      </w:r>
    </w:p>
    <w:p>
      <w:pPr>
        <w:pStyle w:val="Compact"/>
        <w:numPr>
          <w:ilvl w:val="1"/>
          <w:numId w:val="1002"/>
        </w:numPr>
      </w:pPr>
      <w:r>
        <w:t xml:space="preserve">El switch o PC tienen el puerto configurado manualmente a 100 Mbps</w:t>
      </w:r>
    </w:p>
    <w:p>
      <w:pPr>
        <w:pStyle w:val="Compact"/>
        <w:numPr>
          <w:ilvl w:val="1"/>
          <w:numId w:val="1002"/>
        </w:numPr>
      </w:pPr>
      <w:r>
        <w:t xml:space="preserve">Cable demasiado largo (&gt;100 m)</w:t>
      </w:r>
    </w:p>
    <w:p>
      <w:pPr>
        <w:numPr>
          <w:ilvl w:val="0"/>
          <w:numId w:val="1001"/>
        </w:numPr>
      </w:pPr>
      <w:r>
        <w:rPr>
          <w:b/>
          <w:bCs/>
        </w:rPr>
        <w:t xml:space="preserve">Herramientas:</w:t>
      </w:r>
      <w:r>
        <w:t xml:space="preserve"> </w:t>
      </w:r>
      <w:r>
        <w:t xml:space="preserve">Comprobador de cables (para verificar continuidad de los 4 pares), y la configuración de red del PC/switch (para ver velocidad negociada).</w:t>
      </w:r>
    </w:p>
    <w:p>
      <w:pPr>
        <w:numPr>
          <w:ilvl w:val="0"/>
          <w:numId w:val="1001"/>
        </w:numPr>
      </w:pPr>
      <w:r>
        <w:rPr>
          <w:b/>
          <w:bCs/>
        </w:rPr>
        <w:t xml:space="preserve">Prueba de diagnóstico:</w:t>
      </w:r>
    </w:p>
    <w:p>
      <w:pPr>
        <w:pStyle w:val="Compact"/>
        <w:numPr>
          <w:ilvl w:val="1"/>
          <w:numId w:val="1003"/>
        </w:numPr>
      </w:pPr>
      <w:r>
        <w:t xml:space="preserve">Probar el mismo cable con otro PC y otro puerto del switch</w:t>
      </w:r>
    </w:p>
    <w:p>
      <w:pPr>
        <w:pStyle w:val="Compact"/>
        <w:numPr>
          <w:ilvl w:val="1"/>
          <w:numId w:val="1003"/>
        </w:numPr>
      </w:pPr>
      <w:r>
        <w:t xml:space="preserve">Probar otro cable conocido bueno en el mismo PC y puerto</w:t>
      </w:r>
    </w:p>
    <w:p>
      <w:pPr>
        <w:pStyle w:val="Compact"/>
        <w:numPr>
          <w:ilvl w:val="1"/>
          <w:numId w:val="1003"/>
        </w:numPr>
      </w:pPr>
      <w:r>
        <w:t xml:space="preserve">Si el cable nuevo funciona a 1 Gbps → el cable original está dañado</w:t>
      </w:r>
    </w:p>
    <w:p>
      <w:pPr>
        <w:pStyle w:val="Compact"/>
        <w:numPr>
          <w:ilvl w:val="1"/>
          <w:numId w:val="1003"/>
        </w:numPr>
      </w:pPr>
      <w:r>
        <w:t xml:space="preserve">Si ningún cable funciona a 1 Gbps → problema en PC o switch</w:t>
      </w:r>
    </w:p>
    <w:bookmarkEnd w:id="10"/>
    <w:bookmarkStart w:id="11" w:name="diseño-de-cableado-estructurado"/>
    <w:p>
      <w:pPr>
        <w:pStyle w:val="Heading2"/>
      </w:pPr>
      <w:r>
        <w:t xml:space="preserve">2. Diseño de cableado estructurado</w:t>
      </w:r>
    </w:p>
    <w:p>
      <w:pPr>
        <w:numPr>
          <w:ilvl w:val="0"/>
          <w:numId w:val="1004"/>
        </w:numPr>
      </w:pPr>
      <w:r>
        <w:rPr>
          <w:b/>
          <w:bCs/>
        </w:rPr>
        <w:t xml:space="preserve">Switches:</w:t>
      </w:r>
    </w:p>
    <w:p>
      <w:pPr>
        <w:pStyle w:val="Compact"/>
        <w:numPr>
          <w:ilvl w:val="1"/>
          <w:numId w:val="1005"/>
        </w:numPr>
      </w:pPr>
      <w:r>
        <w:t xml:space="preserve">Planta 1: 1 switch de 48 puertos (para 40 puestos + servidores)</w:t>
      </w:r>
    </w:p>
    <w:p>
      <w:pPr>
        <w:pStyle w:val="Compact"/>
        <w:numPr>
          <w:ilvl w:val="1"/>
          <w:numId w:val="1005"/>
        </w:numPr>
      </w:pPr>
      <w:r>
        <w:t xml:space="preserve">Planta 2: 1 switch de 48 puertos (para 30 puestos)</w:t>
      </w:r>
    </w:p>
    <w:p>
      <w:pPr>
        <w:pStyle w:val="Compact"/>
        <w:numPr>
          <w:ilvl w:val="1"/>
          <w:numId w:val="1005"/>
        </w:numPr>
      </w:pPr>
      <w:r>
        <w:t xml:space="preserve">Switch de core en la sala de servidores</w:t>
      </w:r>
    </w:p>
    <w:p>
      <w:pPr>
        <w:numPr>
          <w:ilvl w:val="0"/>
          <w:numId w:val="1004"/>
        </w:numPr>
      </w:pPr>
      <w:r>
        <w:rPr>
          <w:b/>
          <w:bCs/>
        </w:rPr>
        <w:t xml:space="preserve">Cable:</w:t>
      </w:r>
    </w:p>
    <w:p>
      <w:pPr>
        <w:pStyle w:val="Compact"/>
        <w:numPr>
          <w:ilvl w:val="1"/>
          <w:numId w:val="1006"/>
        </w:numPr>
      </w:pPr>
      <w:r>
        <w:t xml:space="preserve">Puestos: Cat6 (estándar para 1 Gbps)</w:t>
      </w:r>
    </w:p>
    <w:p>
      <w:pPr>
        <w:pStyle w:val="Compact"/>
        <w:numPr>
          <w:ilvl w:val="1"/>
          <w:numId w:val="1006"/>
        </w:numPr>
      </w:pPr>
      <w:r>
        <w:t xml:space="preserve">Uplinks entre plantas: fibra multimodo (OM3/OM4, 10 Gbps)</w:t>
      </w:r>
    </w:p>
    <w:p>
      <w:pPr>
        <w:numPr>
          <w:ilvl w:val="0"/>
          <w:numId w:val="1004"/>
        </w:numPr>
      </w:pPr>
      <w:r>
        <w:rPr>
          <w:b/>
          <w:bCs/>
        </w:rPr>
        <w:t xml:space="preserve">Patch panels:</w:t>
      </w:r>
      <w:r>
        <w:t xml:space="preserve"> </w:t>
      </w:r>
      <w:r>
        <w:t xml:space="preserve">1 panel de 48 puertos por planta, cerca del switch correspondiente.</w:t>
      </w:r>
    </w:p>
    <w:p>
      <w:pPr>
        <w:numPr>
          <w:ilvl w:val="0"/>
          <w:numId w:val="1004"/>
        </w:numPr>
      </w:pPr>
      <w:r>
        <w:rPr>
          <w:b/>
          <w:bCs/>
        </w:rPr>
        <w:t xml:space="preserve">Conexión entre plantas:</w:t>
      </w:r>
      <w:r>
        <w:t xml:space="preserve"> </w:t>
      </w:r>
      <w:r>
        <w:t xml:space="preserve">Fibra multimodo desde cada switch de planta hasta el switch de core en la sala de servidores, usando módulos SFP+.</w:t>
      </w:r>
    </w:p>
    <w:bookmarkEnd w:id="11"/>
    <w:bookmarkStart w:id="12" w:name="cálculo-de-atenuación"/>
    <w:p>
      <w:pPr>
        <w:pStyle w:val="Heading2"/>
      </w:pPr>
      <w:r>
        <w:t xml:space="preserve">3. Cálculo de atenuación</w:t>
      </w:r>
    </w:p>
    <w:p>
      <w:pPr>
        <w:numPr>
          <w:ilvl w:val="0"/>
          <w:numId w:val="1007"/>
        </w:numPr>
      </w:pPr>
      <w:r>
        <w:t xml:space="preserve">Potencia recibida = 2 dBm - 21,3 dB =</w:t>
      </w:r>
      <w:r>
        <w:t xml:space="preserve"> </w:t>
      </w:r>
      <w:r>
        <w:rPr>
          <w:b/>
          <w:bCs/>
        </w:rPr>
        <w:t xml:space="preserve">-19,3 dBm</w:t>
      </w:r>
    </w:p>
    <w:p>
      <w:pPr>
        <w:numPr>
          <w:ilvl w:val="0"/>
          <w:numId w:val="1007"/>
        </w:numPr>
      </w:pPr>
      <w:r>
        <w:rPr>
          <w:b/>
          <w:bCs/>
        </w:rPr>
        <w:t xml:space="preserve">Sí funciona.</w:t>
      </w:r>
      <w:r>
        <w:t xml:space="preserve"> </w:t>
      </w:r>
      <w:r>
        <w:t xml:space="preserve">-19,3 dBm &gt; -20 dBm (el umbral del receptor). La señal es válida.</w:t>
      </w:r>
    </w:p>
    <w:p>
      <w:pPr>
        <w:numPr>
          <w:ilvl w:val="0"/>
          <w:numId w:val="1007"/>
        </w:numPr>
      </w:pPr>
      <w:r>
        <w:t xml:space="preserve">A 120 metros: atenuación proporcional = 21,3 × (120/100) = 25,56 dB</w:t>
      </w:r>
      <w:r>
        <w:t xml:space="preserve"> </w:t>
      </w:r>
      <w:r>
        <w:t xml:space="preserve">Potencia recibida = 2 - 25,56 =</w:t>
      </w:r>
      <w:r>
        <w:t xml:space="preserve"> </w:t>
      </w:r>
      <w:r>
        <w:rPr>
          <w:b/>
          <w:bCs/>
        </w:rPr>
        <w:t xml:space="preserve">-23,56 dBm</w:t>
      </w:r>
      <w:r>
        <w:t xml:space="preserve"> </w:t>
      </w:r>
      <w:r>
        <w:rPr>
          <w:b/>
          <w:bCs/>
        </w:rPr>
        <w:t xml:space="preserve">No funciona.</w:t>
      </w:r>
      <w:r>
        <w:t xml:space="preserve"> </w:t>
      </w:r>
      <w:r>
        <w:t xml:space="preserve">-23,56 dBm está por debajo del umbral de -20 dBm.</w:t>
      </w:r>
    </w:p>
    <w:bookmarkEnd w:id="12"/>
    <w:bookmarkStart w:id="13" w:name="fibra-vs-cobre-caso-real"/>
    <w:p>
      <w:pPr>
        <w:pStyle w:val="Heading2"/>
      </w:pPr>
      <w:r>
        <w:t xml:space="preserve">4. Fibra vs cobre: caso real</w:t>
      </w:r>
    </w:p>
    <w:p>
      <w:pPr>
        <w:numPr>
          <w:ilvl w:val="0"/>
          <w:numId w:val="1008"/>
        </w:numPr>
      </w:pPr>
      <w:r>
        <w:rPr>
          <w:b/>
          <w:bCs/>
        </w:rPr>
        <w:t xml:space="preserve">200 m:</w:t>
      </w:r>
      <w:r>
        <w:t xml:space="preserve"> </w:t>
      </w:r>
      <w:r>
        <w:t xml:space="preserve">Fibra multimodo (el cobre Cat6a se queda en 100 m)</w:t>
      </w:r>
      <w:r>
        <w:t xml:space="preserve"> </w:t>
      </w:r>
      <w:r>
        <w:rPr>
          <w:b/>
          <w:bCs/>
        </w:rPr>
        <w:t xml:space="preserve">500 m:</w:t>
      </w:r>
      <w:r>
        <w:t xml:space="preserve"> </w:t>
      </w:r>
      <w:r>
        <w:t xml:space="preserve">Fibra multimodo (el cobre no llega a 500 m)</w:t>
      </w:r>
      <w:r>
        <w:t xml:space="preserve"> </w:t>
      </w:r>
      <w:r>
        <w:rPr>
          <w:b/>
          <w:bCs/>
        </w:rPr>
        <w:t xml:space="preserve">2000 m:</w:t>
      </w:r>
      <w:r>
        <w:t xml:space="preserve"> </w:t>
      </w:r>
      <w:r>
        <w:t xml:space="preserve">Fibra monomodo (obligatorio para 2 km)</w:t>
      </w:r>
    </w:p>
    <w:p>
      <w:pPr>
        <w:numPr>
          <w:ilvl w:val="0"/>
          <w:numId w:val="1008"/>
        </w:numPr>
      </w:pPr>
      <w:r>
        <w:rPr>
          <w:b/>
          <w:bCs/>
        </w:rPr>
        <w:t xml:space="preserve">200-500 m:</w:t>
      </w:r>
      <w:r>
        <w:t xml:space="preserve"> </w:t>
      </w:r>
      <w:r>
        <w:t xml:space="preserve">Fibra multimodo OM4 (500 m a 10 Gbps; si fuera 1 Gbps, también llega la OM3)</w:t>
      </w:r>
      <w:r>
        <w:t xml:space="preserve"> </w:t>
      </w:r>
      <w:r>
        <w:rPr>
          <w:b/>
          <w:bCs/>
        </w:rPr>
        <w:t xml:space="preserve">2000 m:</w:t>
      </w:r>
      <w:r>
        <w:t xml:space="preserve"> </w:t>
      </w:r>
      <w:r>
        <w:t xml:space="preserve">Fibra monomodo OS2 (10 Gbps, hasta 40 km)</w:t>
      </w:r>
    </w:p>
    <w:p>
      <w:pPr>
        <w:numPr>
          <w:ilvl w:val="0"/>
          <w:numId w:val="1008"/>
        </w:numPr>
      </w:pPr>
      <w:r>
        <w:rPr>
          <w:b/>
          <w:bCs/>
        </w:rPr>
        <w:t xml:space="preserve">Conectores:</w:t>
      </w:r>
      <w:r>
        <w:t xml:space="preserve"> </w:t>
      </w:r>
      <w:r>
        <w:t xml:space="preserve">LC (estándar en SFP)</w:t>
      </w:r>
      <w:r>
        <w:t xml:space="preserve"> </w:t>
      </w:r>
      <w:r>
        <w:rPr>
          <w:b/>
          <w:bCs/>
        </w:rPr>
        <w:t xml:space="preserve">Módulos SFP:</w:t>
      </w:r>
    </w:p>
    <w:p>
      <w:pPr>
        <w:pStyle w:val="Compact"/>
        <w:numPr>
          <w:ilvl w:val="1"/>
          <w:numId w:val="1009"/>
        </w:numPr>
      </w:pPr>
      <w:r>
        <w:t xml:space="preserve">200-500 m: SFP+ 10GBASE-SR (multimodo, 850 nm)</w:t>
      </w:r>
    </w:p>
    <w:p>
      <w:pPr>
        <w:pStyle w:val="Compact"/>
        <w:numPr>
          <w:ilvl w:val="1"/>
          <w:numId w:val="1009"/>
        </w:numPr>
      </w:pPr>
      <w:r>
        <w:t xml:space="preserve">2000 m: SFP+ 10GBASE-LR (monomodo, 1310 nm)</w:t>
      </w:r>
    </w:p>
    <w:bookmarkEnd w:id="13"/>
    <w:bookmarkStart w:id="14" w:name="pinout-y-solución-de-problemas"/>
    <w:p>
      <w:pPr>
        <w:pStyle w:val="Heading2"/>
      </w:pPr>
      <w:r>
        <w:t xml:space="preserve">5. Pinout y solución de problemas</w:t>
      </w:r>
    </w:p>
    <w:p>
      <w:pPr>
        <w:numPr>
          <w:ilvl w:val="0"/>
          <w:numId w:val="1010"/>
        </w:numPr>
      </w:pPr>
      <w:r>
        <w:rPr>
          <w:b/>
          <w:bCs/>
        </w:rPr>
        <w:t xml:space="preserve">Falla el pin 3</w:t>
      </w:r>
      <w:r>
        <w:t xml:space="preserve"> </w:t>
      </w:r>
      <w:r>
        <w:t xml:space="preserve">(el tercer LED no se enciende: posición 3 de 8).</w:t>
      </w:r>
    </w:p>
    <w:p>
      <w:pPr>
        <w:numPr>
          <w:ilvl w:val="0"/>
          <w:numId w:val="1010"/>
        </w:numPr>
      </w:pPr>
      <w:r>
        <w:rPr>
          <w:b/>
          <w:bCs/>
        </w:rPr>
        <w:t xml:space="preserve">Par 3-6</w:t>
      </w:r>
      <w:r>
        <w:t xml:space="preserve"> </w:t>
      </w:r>
      <w:r>
        <w:t xml:space="preserve">(blanco/verde y verde en T568B, o blanco/naranja y naranja en T568A). El pin 3 forma parte del par transmisión/recepción junto con el pin 6.</w:t>
      </w:r>
    </w:p>
    <w:p>
      <w:pPr>
        <w:numPr>
          <w:ilvl w:val="0"/>
          <w:numId w:val="1010"/>
        </w:numPr>
      </w:pPr>
      <w:r>
        <w:rPr>
          <w:b/>
          <w:bCs/>
        </w:rPr>
        <w:t xml:space="preserve">No: no hay enlace.</w:t>
      </w:r>
      <w:r>
        <w:t xml:space="preserve"> </w:t>
      </w:r>
      <w:r>
        <w:t xml:space="preserve">El pin 3 pertenece al par 3-6, que usan 10BASE-T, 100BASE-TX y Gigabit; con ese par roto, el cable no negocia ni a 100 Mbps. (Ojo: si el que fallara fuera el par 7-8, sí caerías a 100 Mbps.)</w:t>
      </w:r>
    </w:p>
    <w:bookmarkEnd w:id="14"/>
    <w:bookmarkStart w:id="15" w:name="diseña-el-latiguillo-perfecto"/>
    <w:p>
      <w:pPr>
        <w:pStyle w:val="Heading2"/>
      </w:pPr>
      <w:r>
        <w:t xml:space="preserve">6. Diseña el latiguillo perfecto</w:t>
      </w:r>
    </w:p>
    <w:p>
      <w:pPr>
        <w:pStyle w:val="FirstParagraph"/>
      </w:pPr>
      <w:r>
        <w:rPr>
          <w:b/>
          <w:bCs/>
        </w:rPr>
        <w:t xml:space="preserve">Herramientas:</w:t>
      </w:r>
      <w:r>
        <w:t xml:space="preserve"> </w:t>
      </w:r>
      <w:r>
        <w:t xml:space="preserve">Crimpadora RJ45, pelacables, cortador, comprobador de cables.</w:t>
      </w:r>
    </w:p>
    <w:p>
      <w:pPr>
        <w:pStyle w:val="BodyText"/>
      </w:pPr>
      <w:r>
        <w:rPr>
          <w:b/>
          <w:bCs/>
        </w:rPr>
        <w:t xml:space="preserve">Pasos:</w:t>
      </w:r>
      <w:r>
        <w:t xml:space="preserve"> </w:t>
      </w:r>
      <w:r>
        <w:t xml:space="preserve">1.</w:t>
      </w:r>
      <w:r>
        <w:t xml:space="preserve"> </w:t>
      </w:r>
      <w:r>
        <w:rPr>
          <w:b/>
          <w:bCs/>
        </w:rPr>
        <w:t xml:space="preserve">Pelar:</w:t>
      </w:r>
      <w:r>
        <w:t xml:space="preserve"> </w:t>
      </w:r>
      <w:r>
        <w:t xml:space="preserve">Con el pelacables, retira unos 2 cm de la funda exterior. Con cuidado de no dañar los hilos internos.</w:t>
      </w:r>
      <w:r>
        <w:t xml:space="preserve"> </w:t>
      </w:r>
      <w:r>
        <w:t xml:space="preserve">2.</w:t>
      </w:r>
      <w:r>
        <w:t xml:space="preserve"> </w:t>
      </w:r>
      <w:r>
        <w:rPr>
          <w:b/>
          <w:bCs/>
        </w:rPr>
        <w:t xml:space="preserve">Ordenar (T568B, clip hacia abajo, mirando el conector de frente):</w:t>
      </w:r>
      <w:r>
        <w:t xml:space="preserve"> </w:t>
      </w:r>
      <w:r>
        <w:t xml:space="preserve">- Pin 1: Blanco/Naranja</w:t>
      </w:r>
      <w:r>
        <w:t xml:space="preserve"> </w:t>
      </w:r>
      <w:r>
        <w:t xml:space="preserve">- Pin 2: Naranja</w:t>
      </w:r>
      <w:r>
        <w:t xml:space="preserve"> </w:t>
      </w:r>
      <w:r>
        <w:t xml:space="preserve">- Pin 3: Blanco/Verde</w:t>
      </w:r>
      <w:r>
        <w:t xml:space="preserve"> </w:t>
      </w:r>
      <w:r>
        <w:t xml:space="preserve">- Pin 4: Azul</w:t>
      </w:r>
      <w:r>
        <w:t xml:space="preserve"> </w:t>
      </w:r>
      <w:r>
        <w:t xml:space="preserve">- Pin 5: Blanco/Azul</w:t>
      </w:r>
      <w:r>
        <w:t xml:space="preserve"> </w:t>
      </w:r>
      <w:r>
        <w:t xml:space="preserve">- Pin 6: Verde</w:t>
      </w:r>
      <w:r>
        <w:t xml:space="preserve"> </w:t>
      </w:r>
      <w:r>
        <w:t xml:space="preserve">- Pin 7: Blanco/Marrón</w:t>
      </w:r>
      <w:r>
        <w:t xml:space="preserve"> </w:t>
      </w:r>
      <w:r>
        <w:t xml:space="preserve">- Pin 8: Marrón</w:t>
      </w:r>
      <w:r>
        <w:t xml:space="preserve"> </w:t>
      </w:r>
      <w:r>
        <w:t xml:space="preserve">3.</w:t>
      </w:r>
      <w:r>
        <w:t xml:space="preserve"> </w:t>
      </w:r>
      <w:r>
        <w:rPr>
          <w:b/>
          <w:bCs/>
        </w:rPr>
        <w:t xml:space="preserve">Cortar:</w:t>
      </w:r>
      <w:r>
        <w:t xml:space="preserve"> </w:t>
      </w:r>
      <w:r>
        <w:t xml:space="preserve">Con la crimpadora, corta los hilos rectos dejando aproximadamente 1 cm desde la funda.</w:t>
      </w:r>
      <w:r>
        <w:t xml:space="preserve"> </w:t>
      </w:r>
      <w:r>
        <w:t xml:space="preserve">4.</w:t>
      </w:r>
      <w:r>
        <w:t xml:space="preserve"> </w:t>
      </w:r>
      <w:r>
        <w:rPr>
          <w:b/>
          <w:bCs/>
        </w:rPr>
        <w:t xml:space="preserve">Insertar:</w:t>
      </w:r>
      <w:r>
        <w:t xml:space="preserve"> </w:t>
      </w:r>
      <w:r>
        <w:t xml:space="preserve">Mete los hilos en el conector RJ45, empujando hasta que los veas asomar por el frente (por los contactos dorados). La funda debe quedar dentro del conector (el pasador de sujeción la agarra).</w:t>
      </w:r>
      <w:r>
        <w:t xml:space="preserve"> </w:t>
      </w:r>
      <w:r>
        <w:t xml:space="preserve">5.</w:t>
      </w:r>
      <w:r>
        <w:t xml:space="preserve"> </w:t>
      </w:r>
      <w:r>
        <w:rPr>
          <w:b/>
          <w:bCs/>
        </w:rPr>
        <w:t xml:space="preserve">Crimpar:</w:t>
      </w:r>
      <w:r>
        <w:t xml:space="preserve"> </w:t>
      </w:r>
      <w:r>
        <w:t xml:space="preserve">Introduce el conector en la crimpadora y aprieta firmemente hasta oír un clic.</w:t>
      </w:r>
      <w:r>
        <w:t xml:space="preserve"> </w:t>
      </w:r>
      <w:r>
        <w:t xml:space="preserve">6.</w:t>
      </w:r>
      <w:r>
        <w:t xml:space="preserve"> </w:t>
      </w:r>
      <w:r>
        <w:rPr>
          <w:b/>
          <w:bCs/>
        </w:rPr>
        <w:t xml:space="preserve">Comprobar:</w:t>
      </w:r>
      <w:r>
        <w:t xml:space="preserve"> </w:t>
      </w:r>
      <w:r>
        <w:t xml:space="preserve">Usa el tester para verificar continuidad en todos los pines (1-8 en orden). Si algún LED no se enciende o el orden es incorrecto, corta y repite.</w:t>
      </w:r>
    </w:p>
    <w:p>
      <w:pPr>
        <w:pStyle w:val="BodyText"/>
      </w:pPr>
      <w:r>
        <w:rPr>
          <w:b/>
          <w:bCs/>
        </w:rPr>
        <w:t xml:space="preserve">Señal de crimpado correcto:</w:t>
      </w:r>
      <w:r>
        <w:t xml:space="preserve"> </w:t>
      </w:r>
      <w:r>
        <w:t xml:space="preserve">Todos los contactos dorados están hundidos uniformemente, la funda está sujeta por el pasador, y el tester muestra LEDs 1-8 en secuencia correcta.</w:t>
      </w:r>
    </w:p>
    <w:bookmarkEnd w:id="15"/>
    <w:bookmarkStart w:id="16" w:name="elección-de-medio-a-escala"/>
    <w:p>
      <w:pPr>
        <w:pStyle w:val="Heading2"/>
      </w:pPr>
      <w:r>
        <w:t xml:space="preserve">7. Elección de medio a escala</w:t>
      </w:r>
    </w:p>
    <w:p>
      <w:pPr>
        <w:numPr>
          <w:ilvl w:val="0"/>
          <w:numId w:val="1011"/>
        </w:numPr>
      </w:pPr>
      <w:r>
        <w:rPr>
          <w:b/>
          <w:bCs/>
        </w:rPr>
        <w:t xml:space="preserve">Mini-oficina (8 puestos, 60 m²):</w:t>
      </w:r>
      <w:r>
        <w:t xml:space="preserve"> </w:t>
      </w:r>
      <w:r>
        <w:rPr>
          <w:b/>
          <w:bCs/>
        </w:rPr>
        <w:t xml:space="preserve">Cobre Cat6 para los puestos fijos.</w:t>
      </w:r>
      <w:r>
        <w:t xml:space="preserve"> </w:t>
      </w:r>
      <w:r>
        <w:t xml:space="preserve">Distancias cortas (&lt; 100 m), presupuesto ajustado: el cobre da rendimiento y estabilidad a buen precio.</w:t>
      </w:r>
    </w:p>
    <w:p>
      <w:pPr>
        <w:numPr>
          <w:ilvl w:val="0"/>
          <w:numId w:val="1011"/>
        </w:numPr>
      </w:pPr>
      <w:r>
        <w:rPr>
          <w:b/>
          <w:bCs/>
        </w:rPr>
        <w:t xml:space="preserve">Planta de 40 puestos (rack en la misma planta):</w:t>
      </w:r>
      <w:r>
        <w:t xml:space="preserve"> </w:t>
      </w:r>
      <w:r>
        <w:rPr>
          <w:b/>
          <w:bCs/>
        </w:rPr>
        <w:t xml:space="preserve">Cobre Cat6 a todos los puestos</w:t>
      </w:r>
      <w:r>
        <w:t xml:space="preserve"> </w:t>
      </w:r>
      <w:r>
        <w:t xml:space="preserve">(distancias dentro de los 100 m, 1 Gbps) con cableado estructurado (patch panels + latiguillos). El uplink del rack si se extiende a otra sala más lejana: fibra multimodo.</w:t>
      </w:r>
    </w:p>
    <w:p>
      <w:pPr>
        <w:numPr>
          <w:ilvl w:val="0"/>
          <w:numId w:val="1011"/>
        </w:numPr>
      </w:pPr>
      <w:r>
        <w:rPr>
          <w:b/>
          <w:bCs/>
        </w:rPr>
        <w:t xml:space="preserve">Campus de 3 edificios:</w:t>
      </w:r>
    </w:p>
    <w:p>
      <w:pPr>
        <w:pStyle w:val="Compact"/>
        <w:numPr>
          <w:ilvl w:val="1"/>
          <w:numId w:val="1012"/>
        </w:numPr>
      </w:pPr>
      <w:r>
        <w:rPr>
          <w:b/>
          <w:bCs/>
        </w:rPr>
        <w:t xml:space="preserve">100 m:</w:t>
      </w:r>
      <w:r>
        <w:t xml:space="preserve"> </w:t>
      </w:r>
      <w:r>
        <w:t xml:space="preserve">Cobre Cat6a (límite exacto del cobre; correcto y barato) o fibra multimodo si se prefiere backbone.</w:t>
      </w:r>
    </w:p>
    <w:p>
      <w:pPr>
        <w:pStyle w:val="Compact"/>
        <w:numPr>
          <w:ilvl w:val="1"/>
          <w:numId w:val="1012"/>
        </w:numPr>
      </w:pPr>
      <w:r>
        <w:rPr>
          <w:b/>
          <w:bCs/>
        </w:rPr>
        <w:t xml:space="preserve">500 m:</w:t>
      </w:r>
      <w:r>
        <w:t xml:space="preserve"> </w:t>
      </w:r>
      <w:r>
        <w:rPr>
          <w:b/>
          <w:bCs/>
        </w:rPr>
        <w:t xml:space="preserve">Fibra multimodo OM3/OM4</w:t>
      </w:r>
      <w:r>
        <w:t xml:space="preserve"> </w:t>
      </w:r>
      <w:r>
        <w:t xml:space="preserve">(el cobre no llega a 500 m; la multimodo cubre hasta ~550 m a 10 Gbps).</w:t>
      </w:r>
    </w:p>
    <w:p>
      <w:pPr>
        <w:pStyle w:val="Compact"/>
        <w:numPr>
          <w:ilvl w:val="1"/>
          <w:numId w:val="1012"/>
        </w:numPr>
      </w:pPr>
      <w:r>
        <w:rPr>
          <w:b/>
          <w:bCs/>
        </w:rPr>
        <w:t xml:space="preserve">2000 m:</w:t>
      </w:r>
      <w:r>
        <w:t xml:space="preserve"> </w:t>
      </w:r>
      <w:r>
        <w:rPr>
          <w:b/>
          <w:bCs/>
        </w:rPr>
        <w:t xml:space="preserve">Fibra monomodo OS2</w:t>
      </w:r>
      <w:r>
        <w:t xml:space="preserve"> </w:t>
      </w:r>
      <w:r>
        <w:t xml:space="preserve">(obligatoria: solo la monomodo cubre distancias de kilómetros).</w:t>
      </w:r>
    </w:p>
    <w:p>
      <w:pPr>
        <w:pStyle w:val="BlockText"/>
      </w:pPr>
      <w:r>
        <w:t xml:space="preserve">💡</w:t>
      </w:r>
      <w:r>
        <w:t xml:space="preserve"> </w:t>
      </w:r>
      <w:r>
        <w:rPr>
          <w:b/>
          <w:bCs/>
        </w:rPr>
        <w:t xml:space="preserve">Regla resumen:</w:t>
      </w:r>
      <w:r>
        <w:t xml:space="preserve"> </w:t>
      </w:r>
      <w:r>
        <w:t xml:space="preserve">distancia decide el medio (cobre ≤ 100 m, multimodo ≤ ~550 m, monomodo el resto); presupuesto decide las categorías.</w:t>
      </w:r>
    </w:p>
    <w:bookmarkEnd w:id="16"/>
    <w:bookmarkStart w:id="17" w:name="diagnóstico-por-capas-osi-en-acción"/>
    <w:p>
      <w:pPr>
        <w:pStyle w:val="Heading2"/>
      </w:pPr>
      <w:r>
        <w:t xml:space="preserve">8. Diagnóstico por capas (OSI en acción)</w:t>
      </w:r>
    </w:p>
    <w:p>
      <w:pPr>
        <w:pStyle w:val="FirstParagraph"/>
      </w:pPr>
      <w:r>
        <w:rPr>
          <w:b/>
          <w:bCs/>
        </w:rPr>
        <w:t xml:space="preserve">Síntoma A → alerta en la capa 1 que la capa 2 delata.</w:t>
      </w:r>
      <w:r>
        <w:t xml:space="preserve"> </w:t>
      </w:r>
      <w:r>
        <w:t xml:space="preserve">El FCS es la capa 2 quien lo detecta, pero casi siempre la causa es física: señal marginal (atenuación, diafonía, EMI o un crimpado flojo) que el tester de continuidad no mide, y por eso el ping falla de forma intermitente. Herramientas: probar un cable conocido bueno, revisar el cableado y, si persiste, un certificador de categoría; Wireshark para contar los errores.</w:t>
      </w:r>
    </w:p>
    <w:p>
      <w:pPr>
        <w:pStyle w:val="BodyText"/>
      </w:pPr>
      <w:r>
        <w:rPr>
          <w:b/>
          <w:bCs/>
        </w:rPr>
        <w:t xml:space="preserve">Síntoma B → Capa 1 (física).</w:t>
      </w:r>
      <w:r>
        <w:t xml:space="preserve"> </w:t>
      </w:r>
      <w:r>
        <w:t xml:space="preserve">LED apagado = no hay enlace: sin negociación no hay bits. Revisa el cable, el conector, el puerto del switch y la NIC del PC.</w:t>
      </w:r>
    </w:p>
    <w:p>
      <w:pPr>
        <w:pStyle w:val="BodyText"/>
      </w:pPr>
      <w:r>
        <w:rPr>
          <w:b/>
          <w:bCs/>
        </w:rPr>
        <w:t xml:space="preserve">Síntoma C → Capa 1 (física).</w:t>
      </w:r>
      <w:r>
        <w:t xml:space="preserve"> </w:t>
      </w:r>
      <w:r>
        <w:t xml:space="preserve">Par partido = no hay enlace: sin LED no hay negociación, no hay bits. Repelar/crimpar o sustituir el tramo.</w:t>
      </w:r>
    </w:p>
    <w:p>
      <w:pPr>
        <w:pStyle w:val="BlockText"/>
      </w:pPr>
      <w:r>
        <w:t xml:space="preserve">💡</w:t>
      </w:r>
      <w:r>
        <w:t xml:space="preserve"> </w:t>
      </w:r>
      <w:r>
        <w:rPr>
          <w:b/>
          <w:bCs/>
        </w:rPr>
        <w:t xml:space="preserve">Clave de examen:</w:t>
      </w:r>
      <w:r>
        <w:t xml:space="preserve"> </w:t>
      </w:r>
      <w:r>
        <w:t xml:space="preserve">si no hay LED, ni mires Wireshark: el problema es de capa 1. Y si hay LED, el tester pasa pero aparecen FCS erróneos, no descartes la capa 1: el tester solo mide continuidad, no calidad de señal.</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2026-09-27T08:08:29Z</dcterms:created>
  <dcterms:modified xsi:type="dcterms:W3CDTF">2026-09-27T08:08:29Z</dcterms:modified>
</cp:coreProperties>
</file>

<file path=docProps/custom.xml><?xml version="1.0" encoding="utf-8"?>
<Properties xmlns="http://schemas.openxmlformats.org/officeDocument/2006/custom-properties" xmlns:vt="http://schemas.openxmlformats.org/officeDocument/2006/docPropsVTypes"/>
</file>