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inicial"/>
    <w:p>
      <w:pPr>
        <w:pStyle w:val="Heading1"/>
      </w:pPr>
      <w:r>
        <w:t xml:space="preserve">Boletín de Servicios de red — Inicial</w:t>
      </w:r>
    </w:p>
    <w:bookmarkEnd w:id="9"/>
    <w:bookmarkStart w:id="18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</w:pPr>
            <w:r>
              <w:t xml:space="preserve">f) SOA/NS</w:t>
            </w:r>
          </w:p>
        </w:tc>
      </w:tr>
    </w:tbl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d) Vaciar la caché DNS</w:t>
            </w:r>
          </w:p>
        </w:tc>
      </w:tr>
    </w:tbl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2026-09-28T09:59:32Z</dcterms:created>
  <dcterms:modified xsi:type="dcterms:W3CDTF">2026-09-28T09:59:32Z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