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de 4000 B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1"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9"/>
    <w:bookmarkStart w:id="200"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0"/>
    <w:bookmarkEnd w:id="201"/>
    <w:bookmarkStart w:id="210"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2"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3"/>
    <w:bookmarkStart w:id="204"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4"/>
    <w:bookmarkStart w:id="205"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5"/>
    <w:bookmarkStart w:id="206"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6"/>
    <w:bookmarkStart w:id="207"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8"/>
    <w:bookmarkStart w:id="209"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09"/>
    <w:bookmarkEnd w:id="210"/>
    <w:bookmarkStart w:id="221"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1"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1"/>
    <w:bookmarkStart w:id="214"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billones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2">
        <w:r>
          <w:rPr>
            <w:rStyle w:val="Hyperlink"/>
          </w:rPr>
          <w:t xml:space="preserve">ipv8.es</w:t>
        </w:r>
      </w:hyperlink>
      <w:r>
        <w:t xml:space="preserve"> </w:t>
      </w:r>
      <w:r>
        <w:t xml:space="preserve">explica la propuesta en español; el documento de referencia está en el</w:t>
      </w:r>
      <w:r>
        <w:t xml:space="preserve"> </w:t>
      </w:r>
      <w:hyperlink r:id="rId213">
        <w:r>
          <w:rPr>
            <w:rStyle w:val="Hyperlink"/>
          </w:rPr>
          <w:t xml:space="preserve">datatracker del IETF</w:t>
        </w:r>
      </w:hyperlink>
      <w:r>
        <w:t xml:space="preserve">.</w:t>
      </w:r>
    </w:p>
    <w:p>
      <w:r>
        <w:pict>
          <v:rect style="width:0;height:1.5pt" o:hralign="center" o:hrstd="t" o:hr="t"/>
        </w:pict>
      </w:r>
    </w:p>
    <w:bookmarkEnd w:id="214"/>
    <w:bookmarkStart w:id="215"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5"/>
    <w:bookmarkStart w:id="216"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19"/>
    <w:bookmarkStart w:id="220"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0"/>
    <w:bookmarkEnd w:id="221"/>
    <w:bookmarkStart w:id="234"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3"/>
    <w:bookmarkStart w:id="224"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4"/>
    <w:bookmarkStart w:id="225"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29"/>
    <w:bookmarkStart w:id="230"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e IPv6, subredes, CIDR, máscaras, VLSM (puntos 1-7 y 9-12)</w:t>
            </w:r>
          </w:p>
        </w:tc>
      </w:tr>
      <w:tr>
        <w:tc>
          <w:tcPr/>
          <w:p>
            <w:pPr>
              <w:pStyle w:val="Compact"/>
            </w:pPr>
            <w:r>
              <w:t xml:space="preserve">g)</w:t>
            </w:r>
          </w:p>
        </w:tc>
        <w:tc>
          <w:tcPr/>
          <w:p>
            <w:pPr>
              <w:pStyle w:val="Compact"/>
            </w:pPr>
            <w:r>
              <w:t xml:space="preserve">Conectividad entre dispositivos</w:t>
            </w:r>
          </w:p>
        </w:tc>
        <w:tc>
          <w:tcPr/>
          <w:p>
            <w:pPr>
              <w:pStyle w:val="Compact"/>
            </w:pPr>
            <w:r>
              <w:t xml:space="preserve">✅ DHCP/DORA (8), SLAAC/DHCPv6 (12-13) + ⚡ Laboratorio Packet Tracer</w:t>
            </w:r>
          </w:p>
        </w:tc>
      </w:tr>
      <w:tr>
        <w:tc>
          <w:tcPr/>
          <w:p>
            <w:pPr>
              <w:pStyle w:val="Compact"/>
            </w:pPr>
            <w:r>
              <w:t xml:space="preserve">c)</w:t>
            </w:r>
          </w:p>
        </w:tc>
        <w:tc>
          <w:tcPr/>
          <w:p>
            <w:pPr>
              <w:pStyle w:val="Compact"/>
            </w:pPr>
            <w:r>
              <w:t xml:space="preserve">Subredes y diseño lógico (RA1)</w:t>
            </w:r>
          </w:p>
        </w:tc>
        <w:tc>
          <w:tcPr/>
          <w:p>
            <w:pPr>
              <w:pStyle w:val="Compact"/>
            </w:pPr>
            <w:r>
              <w:t xml:space="preserve">✅ CIDR y VLSM (puntos 5-7)</w:t>
            </w:r>
          </w:p>
        </w:tc>
      </w:tr>
      <w:tr>
        <w:tc>
          <w:tcPr/>
          <w:p>
            <w:pPr>
              <w:pStyle w:val="Compact"/>
            </w:pPr>
            <w:r>
              <w:t xml:space="preserve">—</w:t>
            </w:r>
          </w:p>
        </w:tc>
        <w:tc>
          <w:tcPr/>
          <w:p>
            <w:pPr>
              <w:pStyle w:val="Compact"/>
            </w:pPr>
            <w:r>
              <w:t xml:space="preserve">Fundamentos de encaminamiento (RA6)</w:t>
            </w:r>
          </w:p>
        </w:tc>
        <w:tc>
          <w:tcPr/>
          <w:p>
            <w:pPr>
              <w:pStyle w:val="Compact"/>
            </w:pPr>
            <w:r>
              <w:t xml:space="preserve">✅ Cabecera, ARP y máscaras/redes (puntos 1-2 y 5)</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2026-09-26T09:27:12Z</dcterms:created>
  <dcterms:modified xsi:type="dcterms:W3CDTF">2026-09-26T09:27:12Z</dcterms:modified>
</cp:coreProperties>
</file>

<file path=docProps/custom.xml><?xml version="1.0" encoding="utf-8"?>
<Properties xmlns="http://schemas.openxmlformats.org/officeDocument/2006/custom-properties" xmlns:vt="http://schemas.openxmlformats.org/officeDocument/2006/docPropsVTypes"/>
</file>