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</w:t>
      </w:r>
      <w:r>
        <w:t xml:space="preserve"> </w:t>
      </w:r>
      <w:r>
        <w:rPr>
          <w:b/>
          <w:bCs/>
        </w:rPr>
        <w:t xml:space="preserve">primer</w:t>
      </w:r>
      <w:r>
        <w:t xml:space="preserve"> </w:t>
      </w:r>
      <w:r>
        <w:t xml:space="preserve">router (o el origen) al salir por el WAN de 1000?</w:t>
      </w:r>
    </w:p>
    <w:p>
      <w:pPr>
        <w:pStyle w:val="Compact"/>
        <w:numPr>
          <w:ilvl w:val="0"/>
          <w:numId w:val="1011"/>
        </w:numPr>
      </w:pPr>
      <w:r>
        <w:t xml:space="preserve">Indica para cada fragmento: bytes de datos, flag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− 20; el offset va en múltiplos de 8; MF=0 solo en el último.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2026-09-26T09:27:12Z</dcterms:created>
  <dcterms:modified xsi:type="dcterms:W3CDTF">2026-09-26T09:27:12Z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