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Tres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1"/>
          <w:numId w:val="1010"/>
        </w:numPr>
      </w:pPr>
      <w:r>
        <w:rPr>
          <w:b/>
          <w:bCs/>
        </w:rPr>
        <w:t xml:space="preserve">Tráfico mislabeled / native VLAN vulnerable:</w:t>
      </w:r>
      <w:r>
        <w:t xml:space="preserve"> </w:t>
      </w:r>
      <w:r>
        <w:t xml:space="preserve">si la native VLAN transporta datos y es la VLAN 1, todo el tráfico sin etiquetar (o mal etiquetado) acaba en la VLAN por defecto, donde pueden mezclarse con otras VLANs mal configuradas (o con el double tagging del vector anterior gratuitamente).</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2026-09-26T09:27:17Z</dcterms:created>
  <dcterms:modified xsi:type="dcterms:W3CDTF">2026-09-26T09:27:17Z</dcterms:modified>
</cp:coreProperties>
</file>

<file path=docProps/custom.xml><?xml version="1.0" encoding="utf-8"?>
<Properties xmlns="http://schemas.openxmlformats.org/officeDocument/2006/custom-properties" xmlns:vt="http://schemas.openxmlformats.org/officeDocument/2006/docPropsVTypes"/>
</file>