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OSPF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RIP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BGP → EGP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EIGRP → IGP</w:t>
      </w:r>
      <w:r>
        <w:t xml:space="preserve"> </w:t>
      </w:r>
      <w:r>
        <w:t xml:space="preserve">(interior, aunque propietario de Cisco)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2026-09-26T09:27:20Z</dcterms:created>
  <dcterms:modified xsi:type="dcterms:W3CDTF">2026-09-26T09:27:20Z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