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avanzado"/>
    <w:p>
      <w:pPr>
        <w:pStyle w:val="Heading1"/>
      </w:pPr>
      <w:r>
        <w:t xml:space="preserve">Boletín de ACL y seguridad — Avanzado</w:t>
      </w:r>
    </w:p>
    <w:bookmarkEnd w:id="9"/>
    <w:bookmarkStart w:id="18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todo el tráfico entrante de conexiones establecidas (tráfico de retorno)</w:t>
      </w:r>
      <w:r>
        <w:t xml:space="preserve"> </w:t>
      </w:r>
      <w:r>
        <w:t xml:space="preserve">5.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permitir tráfico de retorno de conexiones iniciadas internamente.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mini-caso-final"/>
    <w:p>
      <w:pPr>
        <w:pStyle w:val="Heading2"/>
      </w:pPr>
      <w:r>
        <w:t xml:space="preserve">8.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6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6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2026-09-26T09:27:22Z</dcterms:created>
  <dcterms:modified xsi:type="dcterms:W3CDTF">2026-09-26T09:27:22Z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