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Compact"/>
        <w:numPr>
          <w:ilvl w:val="0"/>
          <w:numId w:val="1005"/>
        </w:numPr>
      </w:pPr>
      <w:r>
        <w:t xml:space="preserve">¿De dónde saca el cliente la dirección del gateway por defecto?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 Fíjate además en la dirección de origen del propio RA.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Los routers intermedios la hacen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2026-10-13T22:14:56Z</dcterms:created>
  <dcterms:modified xsi:type="dcterms:W3CDTF">2026-10-13T22:14:56Z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