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f77329e857814036711372352e4f06954e66e"/>
    <w:p>
      <w:pPr>
        <w:pStyle w:val="Heading1"/>
      </w:pPr>
      <w:r>
        <w:t xml:space="preserve">Boletín de Trunking e inter-VLAN — Avanzado</w:t>
      </w:r>
    </w:p>
    <w:bookmarkEnd w:id="9"/>
    <w:bookmarkStart w:id="19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10"/>
    <w:bookmarkStart w:id="11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muestra la native VLAN de cada extremo.</w:t>
      </w:r>
    </w:p>
    <w:bookmarkEnd w:id="11"/>
    <w:bookmarkStart w:id="12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12"/>
    <w:bookmarkStart w:id="13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13"/>
    <w:bookmarkStart w:id="14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14"/>
    <w:bookmarkStart w:id="15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15"/>
    <w:bookmarkStart w:id="16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 los</w:t>
      </w:r>
      <w:r>
        <w:t xml:space="preserve"> </w:t>
      </w:r>
      <w:r>
        <w:rPr>
          <w:b/>
          <w:bCs/>
        </w:rPr>
        <w:t xml:space="preserve">2 vectores de ataque</w:t>
      </w:r>
      <w:r>
        <w:t xml:space="preserve"> </w:t>
      </w:r>
      <w:r>
        <w:t xml:space="preserve">principales 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la negociación de trunks por DTP y en el double tagging sobre la native VLAN.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16"/>
    <w:bookmarkStart w:id="17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17"/>
    <w:bookmarkStart w:id="18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2026-10-13T22:15:02Z</dcterms:created>
  <dcterms:modified xsi:type="dcterms:W3CDTF">2026-10-13T22:15:02Z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