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enrutamiento-estático"/>
    <w:p>
      <w:pPr>
        <w:pStyle w:val="Heading1"/>
      </w:pPr>
      <w:r>
        <w:t xml:space="preserve">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🧭 AQUÍ ESTÁS</w:t>
      </w:r>
      <w:r>
        <w:t xml:space="preserve"> </w:t>
      </w:r>
      <w:r>
        <w:t xml:space="preserve">→ 🗣️ OSPF → 🛡️ ACLs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9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hiciste hablar VLANs entre sí; aquí hacemos hablar</w:t>
      </w:r>
      <w:r>
        <w:t xml:space="preserve"> </w:t>
      </w:r>
      <w:r>
        <w:rPr>
          <w:b/>
          <w:bCs/>
        </w:rPr>
        <w:t xml:space="preserve">redes completas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10">
        <w:r>
          <w:rPr>
            <w:rStyle w:val="Hyperlink"/>
          </w:rPr>
          <w:t xml:space="preserve">unidad de OSPF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 y su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y depurar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11"/>
    <w:bookmarkStart w:id="18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18"/>
    <w:bookmarkStart w:id="19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19"/>
    <w:bookmarkStart w:id="20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LEDs y componentes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unidad anterior? El enrutamiento inter-VLAN ya te enseñó subinterfaces: aquí le toca el turno a las redes completas.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0">
        <w:r>
          <w:rPr>
            <w:rStyle w:val="Hyperlink"/>
            <w:b/>
            <w:bCs/>
          </w:rPr>
          <w:t xml:space="preserve">Enrutamiento dinámico con OSPF</w:t>
        </w:r>
      </w:hyperlink>
      <w:r>
        <w:rPr>
          <w:b/>
          <w:bCs/>
        </w:rPr>
        <w:t xml:space="preserve">.</w:t>
      </w:r>
    </w:p>
    <w:bookmarkEnd w:id="21"/>
    <w:bookmarkEnd w:id="22"/>
    <w:bookmarkStart w:id="31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23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unidades anteriores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23"/>
    <w:bookmarkStart w:id="24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Volátil</w:t>
            </w:r>
          </w:p>
        </w:tc>
        <w:tc>
          <w:tcPr/>
          <w:p>
            <w:pPr>
              <w:pStyle w:val="Compac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</w:pPr>
            <w:r>
              <w:t xml:space="preserve">E/S</w:t>
            </w:r>
          </w:p>
        </w:tc>
        <w:tc>
          <w:tcPr/>
          <w:p>
            <w:pPr>
              <w:pStyle w:val="Compac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“la mesa de trabajo”</w:t>
      </w:r>
      <w:r>
        <w:t xml:space="preserve">; Flash y NVRAM son</w:t>
      </w:r>
      <w:r>
        <w:t xml:space="preserve"> </w:t>
      </w:r>
      <w:r>
        <w:t xml:space="preserve">“el armario”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“modo de emergencia”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“se queda colgado”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SourceCode"/>
      </w:pPr>
      <w:r>
        <w:rPr>
          <w:rStyle w:val="VerbatimChar"/>
        </w:rPr>
        <w:t xml:space="preserve">Secuencia de arranque</w:t>
      </w:r>
      <w:r>
        <w:br/>
      </w:r>
      <w:r>
        <w:rPr>
          <w:rStyle w:val="VerbatimChar"/>
        </w:rPr>
        <w:t xml:space="preserve">1. POST            → verifica hardware</w:t>
      </w:r>
      <w:r>
        <w:br/>
      </w:r>
      <w:r>
        <w:rPr>
          <w:rStyle w:val="VerbatimChar"/>
        </w:rPr>
        <w:t xml:space="preserve">2. Boot ROM        → carga ROMMON (modo emergencia)</w:t>
      </w:r>
      <w:r>
        <w:br/>
      </w:r>
      <w:r>
        <w:rPr>
          <w:rStyle w:val="VerbatimChar"/>
        </w:rPr>
        <w:t xml:space="preserve">3. IOS             → se carga desde Flash (o TFTP)</w:t>
      </w:r>
      <w:r>
        <w:br/>
      </w:r>
      <w:r>
        <w:rPr>
          <w:rStyle w:val="VerbatimChar"/>
        </w:rPr>
        <w:t xml:space="preserve">4. startup-config  → se carga desde NVRAM (o setup mode)</w:t>
      </w:r>
    </w:p>
    <w:p>
      <w:r>
        <w:pict>
          <v:rect style="width:0;height:1.5pt" o:hralign="center" o:hrstd="t" o:hr="t"/>
        </w:pict>
      </w:r>
    </w:p>
    <w:bookmarkEnd w:id="25"/>
    <w:bookmarkStart w:id="26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“¿y tú quién eres?”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26"/>
    <w:bookmarkStart w:id="27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4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4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27"/>
    <w:bookmarkStart w:id="28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28"/>
    <w:bookmarkStart w:id="30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ROMMON</w:t>
            </w:r>
          </w:p>
        </w:tc>
        <w:tc>
          <w:tcPr/>
          <w:p>
            <w:pPr>
              <w:pStyle w:val="Compac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9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</w:p>
    <w:bookmarkEnd w:id="30"/>
    <w:bookmarkEnd w:id="31"/>
    <w:bookmarkStart w:id="40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32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32"/>
    <w:bookmarkStart w:id="33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7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33"/>
    <w:bookmarkStart w:id="34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ssh123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viaja en claro.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line vty 0 4</w:t>
      </w:r>
      <w:r>
        <w:t xml:space="preserve">: las 5 sesiones de</w:t>
      </w:r>
      <w:r>
        <w:t xml:space="preserve"> </w:t>
      </w:r>
      <w:r>
        <w:rPr>
          <w:b/>
          <w:bCs/>
        </w:rPr>
        <w:t xml:space="preserve">acceso remoto</w:t>
      </w:r>
      <w:r>
        <w:t xml:space="preserve"> </w:t>
      </w:r>
      <w:r>
        <w:t xml:space="preserve">(telnet/SSH).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hace que SOLO acepte SSH, no telnet. Seguridad barata y muy efectiva.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“no me enruta nada”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ya las configuré para adelantar el punto 3 — no corras todavía.</w:t>
      </w:r>
    </w:p>
    <w:p>
      <w:r>
        <w:pict>
          <v:rect style="width:0;height:1.5pt" o:hralign="center" o:hrstd="t" o:hr="t"/>
        </w:pict>
      </w:r>
    </w:p>
    <w:bookmarkEnd w:id="34"/>
    <w:bookmarkStart w:id="35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“hueco de red”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35"/>
    <w:bookmarkStart w:id="36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llorar.”</w:t>
      </w:r>
    </w:p>
    <w:p>
      <w:r>
        <w:pict>
          <v:rect style="width:0;height:1.5pt" o:hralign="center" o:hrstd="t" o:hr="t"/>
        </w:pict>
      </w:r>
    </w:p>
    <w:bookmarkEnd w:id="36"/>
    <w:bookmarkStart w:id="37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9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09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Adminstrativamente abajo = el router la tiene apagada por configuración.</w:t>
      </w:r>
    </w:p>
    <w:p>
      <w:pPr>
        <w:pStyle w:val="Compact"/>
        <w:numPr>
          <w:ilvl w:val="0"/>
          <w:numId w:val="1010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37"/>
    <w:bookmarkStart w:id="38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1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38"/>
    <w:bookmarkStart w:id="39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VTY</w:t>
            </w:r>
          </w:p>
        </w:tc>
        <w:tc>
          <w:tcPr/>
          <w:p>
            <w:pPr>
              <w:pStyle w:val="Compac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</w:p>
    <w:bookmarkEnd w:id="39"/>
    <w:bookmarkEnd w:id="40"/>
    <w:bookmarkStart w:id="50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41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“tener interfaces”</w:t>
      </w:r>
      <w:r>
        <w:t xml:space="preserve"> </w:t>
      </w:r>
      <w:r>
        <w:t xml:space="preserve">no es</w:t>
      </w:r>
      <w:r>
        <w:t xml:space="preserve"> </w:t>
      </w:r>
      <w:r>
        <w:t xml:space="preserve">“saber llegar a las redes ajenas”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más adelante). Aquí mandamos nosotros.</w:t>
      </w:r>
    </w:p>
    <w:p>
      <w:r>
        <w:pict>
          <v:rect style="width:0;height:1.5pt" o:hralign="center" o:hrstd="t" o:hr="t"/>
        </w:pict>
      </w:r>
    </w:p>
    <w:bookmarkEnd w:id="41"/>
    <w:bookmarkStart w:id="42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42"/>
    <w:bookmarkStart w:id="43" w:name="la-topología-pomo-de-la-unidad-r1-r2"/>
    <w:p>
      <w:pPr>
        <w:pStyle w:val="Heading2"/>
      </w:pPr>
      <w:r>
        <w:t xml:space="preserve">🏞️ La topología pomo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SourceCode"/>
      </w:pPr>
      <w:r>
        <w:rPr>
          <w:rStyle w:val="VerbatimChar"/>
        </w:rPr>
        <w:t xml:space="preserve">R1 ──── 10.0.0.0/30 ──── R2 ──── Internet</w:t>
      </w:r>
      <w:r>
        <w:br/>
      </w:r>
      <w:r>
        <w:rPr>
          <w:rStyle w:val="VerbatimChar"/>
        </w:rPr>
        <w:t xml:space="preserve"> │                           │</w:t>
      </w:r>
      <w:r>
        <w:br/>
      </w:r>
      <w:r>
        <w:rPr>
          <w:rStyle w:val="VerbatimChar"/>
        </w:rPr>
        <w:t xml:space="preserve">192.168.1.0/24           192.168.2.0/24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43"/>
    <w:bookmarkStart w:id="44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“mételo por este muñeco”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ISP, usando interfaz de salida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44"/>
    <w:bookmarkStart w:id="45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3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3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“El next-hop es el conductor al que le das la llave. La interfaz es decir</w:t>
      </w:r>
      <w:r>
        <w:t xml:space="preserve"> </w:t>
      </w:r>
      <w:r>
        <w:t xml:space="preserve">‘sal de la cochera’</w:t>
      </w:r>
      <w:r>
        <w:t xml:space="preserve"> </w:t>
      </w:r>
      <w:r>
        <w:t xml:space="preserve">sin saber quién te va a coger el paquete. En Ethernet, da la llave.”</w:t>
      </w:r>
    </w:p>
    <w:p>
      <w:r>
        <w:pict>
          <v:rect style="width:0;height:1.5pt" o:hralign="center" o:hrstd="t" o:hr="t"/>
        </w:pict>
      </w:r>
    </w:p>
    <w:bookmarkEnd w:id="45"/>
    <w:bookmarkStart w:id="46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192.168.1.0/24</w:t>
      </w:r>
      <w:r>
        <w:rPr>
          <w:rStyle w:val="NormalTok"/>
        </w:rPr>
        <w:t xml:space="preserve">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</w:pPr>
            <w:r>
              <w:t xml:space="preserve">Protocolos de routing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46"/>
    <w:bookmarkStart w:id="47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4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4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4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7"/>
    <w:bookmarkStart w:id="48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6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48"/>
    <w:bookmarkStart w:id="49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Next-hop</w:t>
            </w:r>
          </w:p>
        </w:tc>
        <w:tc>
          <w:tcPr/>
          <w:p>
            <w:pPr>
              <w:pStyle w:val="Compac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</w:p>
    <w:bookmarkEnd w:id="49"/>
    <w:bookmarkEnd w:id="50"/>
    <w:bookmarkStart w:id="58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51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“si no sabes por dónde ir, sal por aquí”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“resto del mundo”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Start w:id="52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“cualquier red”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“el último recurso”</w:t>
      </w:r>
      <w:r>
        <w:t xml:space="preserve"> </w:t>
      </w:r>
      <w:r>
        <w:t xml:space="preserve">o</w:t>
      </w:r>
      <w:r>
        <w:t xml:space="preserve"> </w:t>
      </w:r>
      <w:r>
        <w:t xml:space="preserve">“el callejón de salida”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(default).”</w:t>
      </w:r>
    </w:p>
    <w:p>
      <w:r>
        <w:pict>
          <v:rect style="width:0;height:1.5pt" o:hralign="center" o:hrstd="t" o:hr="t"/>
        </w:pict>
      </w:r>
    </w:p>
    <w:bookmarkEnd w:id="52"/>
    <w:bookmarkStart w:id="53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cuánto menor, más fiable y preferida.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OSPF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“en la reserva”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ambas, marcadas como candidate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54"/>
    <w:bookmarkStart w:id="55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8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instalada</w:t>
      </w:r>
      <w:r>
        <w:t xml:space="preserve"> </w:t>
      </w:r>
      <w:r>
        <w:t xml:space="preserve">“en frío”</w:t>
      </w:r>
      <w:r>
        <w:t xml:space="preserve"> </w:t>
      </w:r>
      <w:r>
        <w:t xml:space="preserve">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55"/>
    <w:bookmarkStart w:id="56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0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56"/>
    <w:bookmarkStart w:id="57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5 · Cómo decide un router</w:t>
        </w:r>
      </w:hyperlink>
    </w:p>
    <w:bookmarkEnd w:id="57"/>
    <w:bookmarkEnd w:id="58"/>
    <w:bookmarkStart w:id="66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59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59"/>
    <w:bookmarkStart w:id="60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Paquete llega → ¿destino local? ──sí──▶ entrégalo a la interfaz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└no── ¿ruta en la tabla? ──sí──▶ reenvía por el next-hop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   └no── ¿ruta por defecto? ──sí──▶ sale por la default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                 └no── ▶ descarta + ICMP "Destination Net Unreachable"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caro. La frase del ⭐ Sé el Router del primer borrador de esta unidad sigue siendo cierta:</w:t>
      </w:r>
      <w:r>
        <w:t xml:space="preserve"> </w:t>
      </w:r>
      <w:r>
        <w:rPr>
          <w:i/>
          <w:iCs/>
        </w:rPr>
        <w:t xml:space="preserve">“Sin rutas, un router no es más que un switch caro.”</w:t>
      </w:r>
    </w:p>
    <w:p>
      <w:r>
        <w:pict>
          <v:rect style="width:0;height:1.5pt" o:hralign="center" o:hrstd="t" o:hr="t"/>
        </w:pict>
      </w:r>
    </w:p>
    <w:bookmarkEnd w:id="60"/>
    <w:bookmarkStart w:id="61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61"/>
    <w:bookmarkStart w:id="62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“la que se configuró primero”</w:t>
      </w:r>
      <w:r>
        <w:t xml:space="preserve">: es la matemáticamente más precisa.</w:t>
      </w:r>
    </w:p>
    <w:p>
      <w:pPr>
        <w:pStyle w:val="FirstParagraph"/>
      </w:pPr>
      <w:r>
        <w:t xml:space="preserve">Ejemplo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192.168.1.66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192.168.1.0/24</w:t>
      </w:r>
      <w:r>
        <w:rPr>
          <w:rStyle w:val="NormalTok"/>
        </w:rPr>
        <w:t xml:space="preserve"> is directly connected, GigabitEthernet0/0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192.168.1.64/26</w:t>
      </w:r>
      <w:r>
        <w:rPr>
          <w:rStyle w:val="NormalTok"/>
        </w:rPr>
        <w:t xml:space="preserve">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…está en 192.168.1.x pero fuera de /28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192.168.1.16/28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…está entre .16 y .31 (¡hemos entrado en la subred!)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2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2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4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64"/>
    <w:bookmarkStart w:id="65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65"/>
    <w:bookmarkEnd w:id="66"/>
    <w:bookmarkStart w:id="79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16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67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“administratively prohibited”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67"/>
    <w:bookmarkStart w:id="68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publication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al final del curso).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dinamica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68"/>
    <w:bookmarkStart w:id="69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5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5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5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5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69"/>
    <w:bookmarkStart w:id="70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ruta y no funciona, el router es malo”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es unOne-Way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“no funciona una ruta”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70"/>
    <w:bookmarkStart w:id="71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t xml:space="preserve">Redes: 192.168.1.0/24 (A), 172.16.12.0/30 (R1-R2), 172.16.23.0/30 (R2-R3), 10.20.0.0/24 (C).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estáticas a la red C vía R2 y a la red B; R2: rutas a A y C; R3: rutas a A y B.</w:t>
      </w:r>
      <w:r>
        <w:t xml:space="preserve"> </w:t>
      </w:r>
      <w:r>
        <w:t xml:space="preserve">3. Ruta por defecto en R1 y R3 hacia el centro (o revisa qué pasa sin ella).</w:t>
      </w:r>
      <w:r>
        <w:t xml:space="preserve"> </w:t>
      </w:r>
      <w:r>
        <w:t xml:space="preserve">4.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añade en R1 una ruta estática incorrecta:</w:t>
      </w:r>
      <w:r>
        <w:t xml:space="preserve"> </w:t>
      </w:r>
      <w:r>
        <w:rPr>
          <w:rStyle w:val="VerbatimChar"/>
        </w:rPr>
        <w:t xml:space="preserve">ip route 10.20.0.0 255.255.255.0 172.16.23.3</w:t>
      </w:r>
      <w:r>
        <w:t xml:space="preserve"> </w:t>
      </w:r>
      <w:r>
        <w:t xml:space="preserve">(saltándose R2).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“rara”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t xml:space="preserve">traceroute desde PC-A: verás dónde muere el paquete (¿en R1? ¿en R2?). La ruta mal puesta manda el tráfico a un next-hop que no sabe qué hacer.</w:t>
      </w:r>
    </w:p>
    <w:p>
      <w:r>
        <w:pict>
          <v:rect style="width:0;height:1.5pt" o:hralign="center" o:hrstd="t" o:hr="t"/>
        </w:pict>
      </w:r>
    </w:p>
    <w:bookmarkEnd w:id="71"/>
    <w:bookmarkStart w:id="72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</w:pPr>
            <w:r>
              <w:t xml:space="preserve">Detectar una</w:t>
            </w:r>
            <w:r>
              <w:t xml:space="preserve"> </w:t>
            </w:r>
            <w:r>
              <w:t xml:space="preserve">“ruta de retorno”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7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7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7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7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8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“interfaz + next-hop”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8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8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8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73"/>
    <w:bookmarkStart w:id="74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74"/>
    <w:bookmarkStart w:id="75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“Explícame qué pasa cuando un router recibe un paquete para una red que no está en su tabla.”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“¿Qué diferencia hay entre next-hop y interfaz de salida en una ruta estática?”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“¿Cuándo pondrías rutas estáticas y cuándo montarías un protocolo dinámico?”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“¿Qué es la distancia administrativa y cómo afecta a dos rutas hacia la misma red?”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“Un PC no llega a una red remota. ¿Tu orden de comprobaciones?”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75"/>
    <w:bookmarkStart w:id="76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“de ida y vuelta”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“sale”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que verás al final del curso.</w:t>
      </w:r>
    </w:p>
    <w:p>
      <w:r>
        <w:pict>
          <v:rect style="width:0;height:1.5pt" o:hralign="center" o:hrstd="t" o:hr="t"/>
        </w:pict>
      </w:r>
    </w:p>
    <w:bookmarkEnd w:id="76"/>
    <w:bookmarkStart w:id="77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“Una ruta es una promesa. Una tabla es un mapa. Y un mapa sin caminos de vuelta es un puzzle. Configura los dos lados, chaval.”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77"/>
    <w:bookmarkStart w:id="78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 2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ApuntesRedes/05-trunking-inter-vlan" TargetMode="External" /><Relationship Type="http://schemas.openxmlformats.org/officeDocument/2006/relationships/hyperlink" Id="rId29" Target="/ApuntesRedes/06-enrutamiento-estatico" TargetMode="External" /><Relationship Type="http://schemas.openxmlformats.org/officeDocument/2006/relationships/hyperlink" Id="rId12" Target="/ApuntesRedes/06-enrutamiento-estatico/01-componentes-del-router" TargetMode="External" /><Relationship Type="http://schemas.openxmlformats.org/officeDocument/2006/relationships/hyperlink" Id="rId13" Target="/ApuntesRedes/06-enrutamiento-estatico/02-configuracion-basica" TargetMode="External" /><Relationship Type="http://schemas.openxmlformats.org/officeDocument/2006/relationships/hyperlink" Id="rId14" Target="/ApuntesRedes/06-enrutamiento-estatico/03-rutas-estaticas" TargetMode="External" /><Relationship Type="http://schemas.openxmlformats.org/officeDocument/2006/relationships/hyperlink" Id="rId15" Target="/ApuntesRedes/06-enrutamiento-estatico/04-ruta-por-defecto" TargetMode="External" /><Relationship Type="http://schemas.openxmlformats.org/officeDocument/2006/relationships/hyperlink" Id="rId16" Target="/ApuntesRedes/06-enrutamiento-estatico/05-como-decide-el-router" TargetMode="External" /><Relationship Type="http://schemas.openxmlformats.org/officeDocument/2006/relationships/hyperlink" Id="rId17" Target="/ApuntesRedes/06-enrutamiento-estatico/06-cierre" TargetMode="External" /><Relationship Type="http://schemas.openxmlformats.org/officeDocument/2006/relationships/hyperlink" Id="rId10" Target="/ApuntesRedes/07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ApuntesRedes/05-trunking-inter-vlan" TargetMode="External" /><Relationship Type="http://schemas.openxmlformats.org/officeDocument/2006/relationships/hyperlink" Id="rId29" Target="/ApuntesRedes/06-enrutamiento-estatico" TargetMode="External" /><Relationship Type="http://schemas.openxmlformats.org/officeDocument/2006/relationships/hyperlink" Id="rId12" Target="/ApuntesRedes/06-enrutamiento-estatico/01-componentes-del-router" TargetMode="External" /><Relationship Type="http://schemas.openxmlformats.org/officeDocument/2006/relationships/hyperlink" Id="rId13" Target="/ApuntesRedes/06-enrutamiento-estatico/02-configuracion-basica" TargetMode="External" /><Relationship Type="http://schemas.openxmlformats.org/officeDocument/2006/relationships/hyperlink" Id="rId14" Target="/ApuntesRedes/06-enrutamiento-estatico/03-rutas-estaticas" TargetMode="External" /><Relationship Type="http://schemas.openxmlformats.org/officeDocument/2006/relationships/hyperlink" Id="rId15" Target="/ApuntesRedes/06-enrutamiento-estatico/04-ruta-por-defecto" TargetMode="External" /><Relationship Type="http://schemas.openxmlformats.org/officeDocument/2006/relationships/hyperlink" Id="rId16" Target="/ApuntesRedes/06-enrutamiento-estatico/05-como-decide-el-router" TargetMode="External" /><Relationship Type="http://schemas.openxmlformats.org/officeDocument/2006/relationships/hyperlink" Id="rId17" Target="/ApuntesRedes/06-enrutamiento-estatico/06-cierre" TargetMode="External" /><Relationship Type="http://schemas.openxmlformats.org/officeDocument/2006/relationships/hyperlink" Id="rId10" Target="/ApuntesRedes/07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2026-09-26T08:35:00Z</dcterms:created>
  <dcterms:modified xsi:type="dcterms:W3CDTF">2026-09-26T08:35:00Z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