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ospf-inicial"/>
    <w:p>
      <w:pPr>
        <w:pStyle w:val="Heading1"/>
      </w:pPr>
      <w:r>
        <w:t xml:space="preserve">Boletín de OSPF — Inicial</w:t>
      </w:r>
    </w:p>
    <w:bookmarkEnd w:id="9"/>
    <w:bookmarkStart w:id="18" w:name="boletín-de-ospf-inicial-1"/>
    <w:p>
      <w:pPr>
        <w:pStyle w:val="Heading1"/>
      </w:pPr>
      <w:r>
        <w:t xml:space="preserve">📝 Boletín de OSPF — Inicial</w:t>
      </w:r>
    </w:p>
    <w:p>
      <w:pPr>
        <w:pStyle w:val="BlockText"/>
      </w:pPr>
      <w:r>
        <w:t xml:space="preserve">Ejercicios básicos para afianzar los conceptos de OSPF y routing dinámico.</w:t>
      </w:r>
    </w:p>
    <w:p>
      <w:r>
        <w:pict>
          <v:rect style="width:0;height:1.5pt" o:hralign="center" o:hrstd="t" o:hr="t"/>
        </w:pict>
      </w:r>
    </w:p>
    <w:bookmarkStart w:id="10" w:name="igp-vs-egp"/>
    <w:p>
      <w:pPr>
        <w:pStyle w:val="Heading2"/>
      </w:pPr>
      <w:r>
        <w:t xml:space="preserve">1. IGP vs EGP</w:t>
      </w:r>
    </w:p>
    <w:p>
      <w:pPr>
        <w:pStyle w:val="FirstParagraph"/>
      </w:pPr>
      <w:r>
        <w:t xml:space="preserve">Clasifica cada protocolo como IGP o EGP:</w:t>
      </w:r>
    </w:p>
    <w:p>
      <w:pPr>
        <w:pStyle w:val="Compact"/>
        <w:numPr>
          <w:ilvl w:val="0"/>
          <w:numId w:val="1001"/>
        </w:numPr>
      </w:pPr>
      <w:r>
        <w:t xml:space="preserve">OSPF</w:t>
      </w:r>
    </w:p>
    <w:p>
      <w:pPr>
        <w:pStyle w:val="Compact"/>
        <w:numPr>
          <w:ilvl w:val="0"/>
          <w:numId w:val="1001"/>
        </w:numPr>
      </w:pPr>
      <w:r>
        <w:t xml:space="preserve">BGP</w:t>
      </w:r>
    </w:p>
    <w:p>
      <w:pPr>
        <w:pStyle w:val="Compact"/>
        <w:numPr>
          <w:ilvl w:val="0"/>
          <w:numId w:val="1001"/>
        </w:numPr>
      </w:pPr>
      <w:r>
        <w:t xml:space="preserve">RIP</w:t>
      </w:r>
    </w:p>
    <w:p>
      <w:pPr>
        <w:pStyle w:val="Compact"/>
        <w:numPr>
          <w:ilvl w:val="0"/>
          <w:numId w:val="1001"/>
        </w:numPr>
      </w:pPr>
      <w:r>
        <w:t xml:space="preserve">EIGRP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2"/>
        </w:numPr>
      </w:pPr>
      <w:r>
        <w:t xml:space="preserve">OSPF usa el algoritmo de Dijkstra (SPF).</w:t>
      </w:r>
    </w:p>
    <w:p>
      <w:pPr>
        <w:pStyle w:val="Compact"/>
        <w:numPr>
          <w:ilvl w:val="0"/>
          <w:numId w:val="1002"/>
        </w:numPr>
      </w:pPr>
      <w:r>
        <w:t xml:space="preserve">RIP tiene un límite de 15 saltos.</w:t>
      </w:r>
    </w:p>
    <w:p>
      <w:pPr>
        <w:pStyle w:val="Compact"/>
        <w:numPr>
          <w:ilvl w:val="0"/>
          <w:numId w:val="1002"/>
        </w:numPr>
      </w:pPr>
      <w:r>
        <w:t xml:space="preserve">OSPF necesita un área backbone (Área 0).</w:t>
      </w:r>
    </w:p>
    <w:p>
      <w:pPr>
        <w:pStyle w:val="Compact"/>
        <w:numPr>
          <w:ilvl w:val="0"/>
          <w:numId w:val="1002"/>
        </w:numPr>
      </w:pPr>
      <w:r>
        <w:t xml:space="preserve">El Router ID de OSPF debe ser único en la red.</w:t>
      </w:r>
    </w:p>
    <w:p>
      <w:pPr>
        <w:pStyle w:val="Compact"/>
        <w:numPr>
          <w:ilvl w:val="0"/>
          <w:numId w:val="1002"/>
        </w:numPr>
      </w:pPr>
      <w:r>
        <w:t xml:space="preserve">RIP converge más rápido que OSPF.</w:t>
      </w:r>
    </w:p>
    <w:bookmarkEnd w:id="11"/>
    <w:bookmarkStart w:id="12" w:name="relaciona"/>
    <w:p>
      <w:pPr>
        <w:pStyle w:val="Heading2"/>
      </w:pPr>
      <w:r>
        <w:t xml:space="preserve">3. Relaciona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LSA</w:t>
            </w:r>
          </w:p>
        </w:tc>
        <w:tc>
          <w:tcPr/>
          <w:p>
            <w:pPr>
              <w:pStyle w:val="Compact"/>
            </w:pPr>
            <w:r>
              <w:t xml:space="preserve">a) Router que conecta áreas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LSDB</w:t>
            </w:r>
          </w:p>
        </w:tc>
        <w:tc>
          <w:tcPr/>
          <w:p>
            <w:pPr>
              <w:pStyle w:val="Compact"/>
            </w:pPr>
            <w:r>
              <w:t xml:space="preserve">b) Anuncio de estado de enlace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ABR</w:t>
            </w:r>
          </w:p>
        </w:tc>
        <w:tc>
          <w:tcPr/>
          <w:p>
            <w:pPr>
              <w:pStyle w:val="Compact"/>
            </w:pPr>
            <w:r>
              <w:t xml:space="preserve">c) Base de datos de la topología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SPF</w:t>
            </w:r>
          </w:p>
        </w:tc>
        <w:tc>
          <w:tcPr/>
          <w:p>
            <w:pPr>
              <w:pStyle w:val="Compact"/>
            </w:pPr>
            <w:r>
              <w:t xml:space="preserve">d) Algoritmo de cálculo de rutas</w:t>
            </w:r>
          </w:p>
        </w:tc>
      </w:tr>
    </w:tbl>
    <w:bookmarkEnd w:id="12"/>
    <w:bookmarkStart w:id="13" w:name="coste-ospf"/>
    <w:p>
      <w:pPr>
        <w:pStyle w:val="Heading2"/>
      </w:pPr>
      <w:r>
        <w:t xml:space="preserve">4. Coste OSPF</w:t>
      </w:r>
    </w:p>
    <w:p>
      <w:pPr>
        <w:pStyle w:val="FirstParagraph"/>
      </w:pPr>
      <w:r>
        <w:t xml:space="preserve">Calcula el coste OSPF para estas interfaces:</w:t>
      </w:r>
    </w:p>
    <w:p>
      <w:pPr>
        <w:pStyle w:val="Compact"/>
        <w:numPr>
          <w:ilvl w:val="0"/>
          <w:numId w:val="1003"/>
        </w:numPr>
      </w:pPr>
      <w:r>
        <w:t xml:space="preserve">FastEthernet (100 Mbps)</w:t>
      </w:r>
    </w:p>
    <w:p>
      <w:pPr>
        <w:pStyle w:val="Compact"/>
        <w:numPr>
          <w:ilvl w:val="0"/>
          <w:numId w:val="1003"/>
        </w:numPr>
      </w:pPr>
      <w:r>
        <w:t xml:space="preserve">GigabitEthernet (1 Gbps)</w:t>
      </w:r>
    </w:p>
    <w:p>
      <w:pPr>
        <w:pStyle w:val="Compact"/>
        <w:numPr>
          <w:ilvl w:val="0"/>
          <w:numId w:val="1003"/>
        </w:numPr>
      </w:pPr>
      <w:r>
        <w:t xml:space="preserve">Serial (1.544 Mbps)</w:t>
      </w:r>
    </w:p>
    <w:bookmarkEnd w:id="13"/>
    <w:bookmarkStart w:id="14" w:name="completa"/>
    <w:p>
      <w:pPr>
        <w:pStyle w:val="Heading2"/>
      </w:pPr>
      <w:r>
        <w:t xml:space="preserve">5. Completa</w:t>
      </w:r>
    </w:p>
    <w:p>
      <w:pPr>
        <w:pStyle w:val="FirstParagraph"/>
      </w:pPr>
      <w:r>
        <w:t xml:space="preserve">Completa los comandos OSPF: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router ___ 1</w:t>
      </w:r>
      <w:r>
        <w:t xml:space="preserve"> </w:t>
      </w:r>
      <w:r>
        <w:t xml:space="preserve">(inicia el proceso OSPF)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network 192.168.1.0 0.0.0.255 area ___</w:t>
      </w:r>
      <w:r>
        <w:t xml:space="preserve"> </w:t>
      </w:r>
      <w:r>
        <w:t xml:space="preserve">(área backbone)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default-information ___</w:t>
      </w:r>
      <w:r>
        <w:t xml:space="preserve"> </w:t>
      </w:r>
      <w:r>
        <w:t xml:space="preserve">(propagar ruta por defecto)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show ip ospf ___</w:t>
      </w:r>
      <w:r>
        <w:t xml:space="preserve"> </w:t>
      </w:r>
      <w:r>
        <w:t xml:space="preserve">(ver vecinos)</w:t>
      </w:r>
    </w:p>
    <w:bookmarkEnd w:id="14"/>
    <w:bookmarkStart w:id="15" w:name="tipos-de-routers"/>
    <w:p>
      <w:pPr>
        <w:pStyle w:val="Heading2"/>
      </w:pPr>
      <w:r>
        <w:t xml:space="preserve">6. Tipos de routers</w:t>
      </w:r>
    </w:p>
    <w:p>
      <w:pPr>
        <w:pStyle w:val="FirstParagraph"/>
      </w:pPr>
      <w:r>
        <w:t xml:space="preserve">Relaciona el tipo de router OSPF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Internal Router</w:t>
            </w:r>
          </w:p>
        </w:tc>
        <w:tc>
          <w:tcPr/>
          <w:p>
            <w:pPr>
              <w:pStyle w:val="Compact"/>
            </w:pPr>
            <w:r>
              <w:t xml:space="preserve">a) Introduce rutas externas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ABR</w:t>
            </w:r>
          </w:p>
        </w:tc>
        <w:tc>
          <w:tcPr/>
          <w:p>
            <w:pPr>
              <w:pStyle w:val="Compact"/>
            </w:pPr>
            <w:r>
              <w:t xml:space="preserve">b) Conecta Área 0 con otras áreas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ASBR</w:t>
            </w:r>
          </w:p>
        </w:tc>
        <w:tc>
          <w:tcPr/>
          <w:p>
            <w:pPr>
              <w:pStyle w:val="Compact"/>
            </w:pPr>
            <w:r>
              <w:t xml:space="preserve">c) Todas sus interfaces en la misma área</w:t>
            </w:r>
          </w:p>
        </w:tc>
      </w:tr>
    </w:tbl>
    <w:bookmarkEnd w:id="15"/>
    <w:bookmarkStart w:id="16" w:name="dinámico-vs-estático"/>
    <w:p>
      <w:pPr>
        <w:pStyle w:val="Heading2"/>
      </w:pPr>
      <w:r>
        <w:t xml:space="preserve">7. Dinámico vs estático</w:t>
      </w:r>
    </w:p>
    <w:p>
      <w:pPr>
        <w:numPr>
          <w:ilvl w:val="0"/>
          <w:numId w:val="1005"/>
        </w:numPr>
      </w:pPr>
      <w:r>
        <w:t xml:space="preserve">Clasifica cada protocolo como IGP o EGP:</w:t>
      </w:r>
      <w:r>
        <w:t xml:space="preserve"> </w:t>
      </w:r>
      <w:r>
        <w:rPr>
          <w:b/>
          <w:bCs/>
        </w:rPr>
        <w:t xml:space="preserve">OSPF</w:t>
      </w:r>
      <w:r>
        <w:t xml:space="preserve">,</w:t>
      </w:r>
      <w:r>
        <w:t xml:space="preserve"> </w:t>
      </w:r>
      <w:r>
        <w:rPr>
          <w:b/>
          <w:bCs/>
        </w:rPr>
        <w:t xml:space="preserve">RIP</w:t>
      </w:r>
      <w:r>
        <w:t xml:space="preserve">,</w:t>
      </w:r>
      <w:r>
        <w:t xml:space="preserve"> </w:t>
      </w:r>
      <w:r>
        <w:rPr>
          <w:b/>
          <w:bCs/>
        </w:rPr>
        <w:t xml:space="preserve">BGP</w:t>
      </w:r>
      <w:r>
        <w:t xml:space="preserve">,</w:t>
      </w:r>
      <w:r>
        <w:t xml:space="preserve"> </w:t>
      </w:r>
      <w:r>
        <w:rPr>
          <w:b/>
          <w:bCs/>
        </w:rPr>
        <w:t xml:space="preserve">EIGRP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Enumera</w:t>
      </w:r>
      <w:r>
        <w:t xml:space="preserve"> </w:t>
      </w:r>
      <w:r>
        <w:rPr>
          <w:b/>
          <w:bCs/>
        </w:rPr>
        <w:t xml:space="preserve">3 ventajas</w:t>
      </w:r>
      <w:r>
        <w:t xml:space="preserve"> </w:t>
      </w:r>
      <w:r>
        <w:t xml:space="preserve">del routing dinámico frente al estático y pon un caso donde convenga usar estático.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IGP enruta dentro de un AS y EGP entre AS (BGP). Dinámico = autoaprendizaje, convergencia automática y menos error humano; estático = determinista, útil en enlaces stub o redes muy pequeñas.</w:t>
      </w:r>
    </w:p>
    <w:bookmarkEnd w:id="16"/>
    <w:bookmarkStart w:id="17" w:name="coste-ospf-tabla-de-velocidades"/>
    <w:p>
      <w:pPr>
        <w:pStyle w:val="Heading2"/>
      </w:pPr>
      <w:r>
        <w:t xml:space="preserve">8. Coste OSPF: tabla de velocidades</w:t>
      </w:r>
    </w:p>
    <w:p>
      <w:pPr>
        <w:pStyle w:val="FirstParagraph"/>
      </w:pPr>
      <w:r>
        <w:t xml:space="preserve">Completa la tabla con el coste OSPF de cada velocidad usando la fórmula</w:t>
      </w:r>
      <w:r>
        <w:t xml:space="preserve"> </w:t>
      </w:r>
      <w:r>
        <w:rPr>
          <w:rStyle w:val="VerbatimChar"/>
        </w:rPr>
        <w:t xml:space="preserve">coste = 10^8 / ancho_de_banda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Velocidad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Coste OSPF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Mbps</w:t>
            </w:r>
          </w:p>
        </w:tc>
        <w:tc>
          <w:tcPr/>
          <w:p>
            <w:pPr>
              <w:pStyle w:val="Compact"/>
            </w:pPr>
            <w:r>
              <w:t xml:space="preserve">10⁸ / 10⁷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10⁸ / 10⁸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 Gbps</w:t>
            </w:r>
          </w:p>
        </w:tc>
        <w:tc>
          <w:tcPr/>
          <w:p>
            <w:pPr>
              <w:pStyle w:val="Compact"/>
            </w:pPr>
            <w:r>
              <w:t xml:space="preserve">10⁸ / 10⁹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1.544 Mbps (T1)</w:t>
            </w:r>
          </w:p>
        </w:tc>
        <w:tc>
          <w:tcPr/>
          <w:p>
            <w:pPr>
              <w:pStyle w:val="Compact"/>
            </w:pPr>
            <w:r>
              <w:t xml:space="preserve">10⁸ / 1.544.000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coste mínimo es 1: los enlaces a partir de 100 Mbps valen lo mismo por defecto. Los decimales se redondean hacia abajo.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2026-09-26T08:35:02Z</dcterms:created>
  <dcterms:modified xsi:type="dcterms:W3CDTF">2026-09-26T08:35:02Z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