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cl-y-seguridad-avanzado"/>
    <w:p>
      <w:pPr>
        <w:pStyle w:val="Heading1"/>
      </w:pPr>
      <w:r>
        <w:t xml:space="preserve">Boletín de ACL y seguridad — Avanzado</w:t>
      </w:r>
    </w:p>
    <w:bookmarkEnd w:id="9"/>
    <w:bookmarkStart w:id="18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10"/>
    <w:bookmarkStart w:id="11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11"/>
    <w:bookmarkStart w:id="12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todo el tráfico entrante de conexiones establecidas (tráfico de retorno)</w:t>
      </w:r>
      <w:r>
        <w:t xml:space="preserve"> </w:t>
      </w:r>
      <w:r>
        <w:t xml:space="preserve">5.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permitir tráfico de retorno de conexiones iniciadas internamente.</w:t>
      </w:r>
    </w:p>
    <w:bookmarkEnd w:id="12"/>
    <w:bookmarkStart w:id="13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13"/>
    <w:bookmarkStart w:id="14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14"/>
    <w:bookmarkStart w:id="15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15"/>
    <w:bookmarkStart w:id="16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16"/>
    <w:bookmarkStart w:id="17" w:name="mini-caso-final"/>
    <w:p>
      <w:pPr>
        <w:pStyle w:val="Heading2"/>
      </w:pPr>
      <w:r>
        <w:t xml:space="preserve">8.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“la sala de profesores (192.168.10.0/24) no puede usar el WiFi de alumnos (192.168.20.0/24), pero ambos deben salir a Internet (G0/2 del router) y los profesores acceden al servidor de notas (10.0.0.5) por HTTPS”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6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6"/>
        </w:numPr>
      </w:pPr>
      <w:r>
        <w:t xml:space="preserve">¿Qué le dirías al director si pide</w:t>
      </w:r>
      <w:r>
        <w:t xml:space="preserve"> </w:t>
      </w:r>
      <w:r>
        <w:t xml:space="preserve">“bloquear YouTube por completo”</w:t>
      </w:r>
      <w:r>
        <w:t xml:space="preserve">? (reflexiona: ACLs vs herramientas adecuadas)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2026-09-26T08:35:03Z</dcterms:created>
  <dcterms:modified xsi:type="dcterms:W3CDTF">2026-09-26T08:35:03Z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