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nicial"/>
    <w:p>
      <w:pPr>
        <w:pStyle w:val="Heading1"/>
      </w:pPr>
      <w:r>
        <w:rPr>
          <w:lang w:val="es-ES"/>
        </w:rPr>
        <w:t xml:space="preserve">Boletín UD3 — Inicial</w:t>
      </w:r>
    </w:p>
    <w:bookmarkEnd w:id="9"/>
    <w:bookmarkStart w:id="21" w:name="boletín-ud3-inicial-1"/>
    <w:p>
      <w:pPr>
        <w:pStyle w:val="Heading1"/>
      </w:pPr>
      <w:r>
        <w:rPr>
          <w:lang w:val="es-ES"/>
        </w:rPr>
        <w:t xml:space="preserve">📝 Boletín UD3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rPr>
          <w:lang w:val="es-ES"/>
        </w:rPr>
        <w:t xml:space="preserve">1. Conversión binario</w:t>
      </w:r>
    </w:p>
    <w:p>
      <w:pPr>
        <w:pStyle w:val="FirstParagraph"/>
      </w:pPr>
      <w:r>
        <w:rPr>
          <w:lang w:val="es-ES"/>
        </w:rP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192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10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255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0</w:t>
      </w:r>
    </w:p>
    <w:bookmarkEnd w:id="10"/>
    <w:bookmarkStart w:id="11" w:name="conversión-a-decimal"/>
    <w:p>
      <w:pPr>
        <w:pStyle w:val="Heading2"/>
      </w:pPr>
      <w:r>
        <w:rPr>
          <w:lang w:val="es-ES"/>
        </w:rPr>
        <w:t xml:space="preserve">2. Conversión a decimal</w:t>
      </w:r>
    </w:p>
    <w:p>
      <w:pPr>
        <w:pStyle w:val="FirstParagraph"/>
      </w:pPr>
      <w:r>
        <w:rPr>
          <w:lang w:val="es-ES"/>
        </w:rP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11000000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10101000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00001010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11111111</w:t>
      </w:r>
    </w:p>
    <w:bookmarkEnd w:id="11"/>
    <w:bookmarkStart w:id="12" w:name="qué-máscara-es"/>
    <w:p>
      <w:pPr>
        <w:pStyle w:val="Heading2"/>
      </w:pPr>
      <w:r>
        <w:rPr>
          <w:lang w:val="es-ES"/>
        </w:rPr>
        <w:t xml:space="preserve">3. ¿Qué máscara es?</w:t>
      </w:r>
    </w:p>
    <w:p>
      <w:pPr>
        <w:pStyle w:val="FirstParagraph"/>
      </w:pPr>
      <w:r>
        <w:rPr>
          <w:lang w:val="es-ES"/>
        </w:rP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CIDR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/16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/30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rPr>
          <w:lang w:val="es-ES"/>
        </w:rP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rPr>
          <w:lang w:val="es-ES"/>
        </w:rPr>
        <w:t xml:space="preserve">5. Calcula hosts</w:t>
      </w:r>
    </w:p>
    <w:p>
      <w:pPr>
        <w:pStyle w:val="FirstParagraph"/>
      </w:pPr>
      <w:r>
        <w:rPr>
          <w:lang w:val="es-ES"/>
        </w:rP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/24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/27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/30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/29</w:t>
      </w:r>
    </w:p>
    <w:bookmarkEnd w:id="14"/>
    <w:bookmarkStart w:id="15" w:name="identifica-el-tipo"/>
    <w:p>
      <w:pPr>
        <w:pStyle w:val="Heading2"/>
      </w:pPr>
      <w:r>
        <w:rPr>
          <w:lang w:val="es-ES"/>
        </w:rPr>
        <w:t xml:space="preserve">6. Identifica el tipo</w:t>
      </w:r>
    </w:p>
    <w:p>
      <w:pPr>
        <w:pStyle w:val="FirstParagraph"/>
      </w:pPr>
      <w:r>
        <w:rPr>
          <w:lang w:val="es-ES"/>
        </w:rP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10.0.0.15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8.8.8.8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192.168.1.1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127.0.0.1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172.16.0.100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rPr>
          <w:lang w:val="es-ES"/>
        </w:rPr>
        <w:t xml:space="preserve">7. Calcula la dirección de red</w:t>
      </w:r>
    </w:p>
    <w:p>
      <w:pPr>
        <w:pStyle w:val="FirstParagraph"/>
      </w:pPr>
      <w:r>
        <w:rPr>
          <w:lang w:val="es-ES"/>
        </w:rPr>
        <w:t xml:space="preserve">Para cada par de IP y máscara, haz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AND</w:t>
      </w:r>
      <w:r>
        <w:rPr>
          <w:lang w:val="es-ES"/>
        </w:rPr>
        <w:t xml:space="preserve"> </w:t>
      </w:r>
      <w:r>
        <w:rPr>
          <w:lang w:val="es-ES"/>
        </w:rPr>
        <w:t xml:space="preserve">bit a bit y di cuál es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dirección de red</w:t>
      </w:r>
      <w:r>
        <w:rPr>
          <w:lang w:val="es-ES"/>
        </w:rP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IP: 192.168.1.66 · Máscara: 255.255.255.192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pasa el octeto</w:t>
      </w:r>
      <w:r>
        <w:rPr>
          <w:lang w:val="es-ES"/>
        </w:rPr>
        <w:t xml:space="preserve"> </w:t>
      </w:r>
      <w:r>
        <w:rPr>
          <w:lang w:val="es-ES"/>
        </w:rPr>
        <w:t xml:space="preserve">“mágico”</w:t>
      </w:r>
      <w:r>
        <w:rPr>
          <w:lang w:val="es-ES"/>
        </w:rPr>
        <w:t xml:space="preserve"> </w:t>
      </w:r>
      <w:r>
        <w:rPr>
          <w:lang w:val="es-ES"/>
        </w:rP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rPr>
          <w:lang w:val="es-ES"/>
        </w:rPr>
        <w:t xml:space="preserve">8. Subredes iguales</w:t>
      </w:r>
    </w:p>
    <w:p>
      <w:pPr>
        <w:pStyle w:val="FirstParagraph"/>
      </w:pPr>
      <w:r>
        <w:rPr>
          <w:lang w:val="es-ES"/>
        </w:rPr>
        <w:t xml:space="preserve">Divide la red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192.168.5.0/24</w:t>
      </w:r>
      <w:r>
        <w:rPr>
          <w:lang w:val="es-ES"/>
        </w:rPr>
        <w:t xml:space="preserve"> </w:t>
      </w: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4 subredes del mismo tamaño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rPr>
          <w:lang w:val="es-ES"/>
        </w:rPr>
        <w:t xml:space="preserve">9. Cabecera IPv4</w:t>
      </w:r>
    </w:p>
    <w:p>
      <w:pPr>
        <w:pStyle w:val="FirstParagraph"/>
      </w:pPr>
      <w:r>
        <w:rPr>
          <w:lang w:val="es-ES"/>
        </w:rP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Campo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TTL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Coordinan la fragmentación y el reensamblado</w:t>
            </w:r>
          </w:p>
        </w:tc>
      </w:tr>
    </w:tbl>
    <w:p>
      <w:pPr>
        <w:pStyle w:val="BodyText"/>
      </w:pPr>
      <w:r>
        <w:rPr>
          <w:lang w:val="es-ES"/>
        </w:rPr>
        <w:t xml:space="preserve">V/F: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rPr>
          <w:lang w:val="es-ES"/>
        </w:rPr>
        <w:t xml:space="preserve">10. ARP en la red local</w:t>
      </w:r>
    </w:p>
    <w:p>
      <w:pPr>
        <w:pStyle w:val="FirstParagraph"/>
      </w:pPr>
      <w:r>
        <w:rPr>
          <w:lang w:val="es-ES"/>
        </w:rPr>
        <w:t xml:space="preserve">Una PC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192.168.1.10</w:t>
      </w:r>
      <w:r>
        <w:rPr>
          <w:lang w:val="es-ES"/>
        </w:rPr>
        <w:t xml:space="preserve"> </w:t>
      </w:r>
      <w:r>
        <w:rPr>
          <w:lang w:val="es-ES"/>
        </w:rPr>
        <w:t xml:space="preserve">quiere hacer ping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192.168.1.20</w:t>
      </w:r>
      <w:r>
        <w:rPr>
          <w:lang w:val="es-ES"/>
        </w:rPr>
        <w:t xml:space="preserve"> </w:t>
      </w:r>
      <w:r>
        <w:rPr>
          <w:lang w:val="es-ES"/>
        </w:rP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rPr>
          <w:lang w:val="es-ES"/>
        </w:rPr>
        <w:t xml:space="preserve">11. MTU y fragmentación</w:t>
      </w:r>
    </w:p>
    <w:p>
      <w:pPr>
        <w:pStyle w:val="FirstParagraph"/>
      </w:pPr>
      <w:r>
        <w:rPr>
          <w:lang w:val="es-ES"/>
        </w:rPr>
        <w:t xml:space="preserve">Un host envía un datagrama IPv4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4000 bytes de datos</w:t>
      </w:r>
      <w:r>
        <w:rPr>
          <w:lang w:val="es-ES"/>
        </w:rPr>
        <w:t xml:space="preserve"> </w:t>
      </w:r>
      <w:r>
        <w:rPr>
          <w:lang w:val="es-ES"/>
        </w:rPr>
        <w:t xml:space="preserve">+ 20 de cabecera por un enlace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MTU 1500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2026-09-24T08:23:20Z</dcterms:created>
  <dcterms:modified xsi:type="dcterms:W3CDTF">2026-09-24T08:23:20Z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