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"/>
    <w:p>
      <w:pPr>
        <w:pStyle w:val="Heading1"/>
      </w:pPr>
      <w:r>
        <w:rPr>
          <w:lang w:val="es-ES"/>
        </w:rPr>
        <w:t xml:space="preserve">Boletín UD5 — Inicial</w:t>
      </w:r>
    </w:p>
    <w:bookmarkEnd w:id="9"/>
    <w:bookmarkStart w:id="18" w:name="boletín-ud5-inicial-1"/>
    <w:p>
      <w:pPr>
        <w:pStyle w:val="Heading1"/>
      </w:pPr>
      <w:r>
        <w:rPr>
          <w:lang w:val="es-ES"/>
        </w:rPr>
        <w:t xml:space="preserve">📝 Boletín UD5 — Inicial</w:t>
      </w:r>
    </w:p>
    <w:p>
      <w:pPr>
        <w:pStyle w:val="BlockText"/>
      </w:pPr>
      <w:r>
        <w:rPr>
          <w:lang w:val="es-ES"/>
        </w:rP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rPr>
          <w:lang w:val="es-ES"/>
        </w:rPr>
        <w:t xml:space="preserve">1. ¿Qué VLAN soy?</w:t>
      </w:r>
    </w:p>
    <w:p>
      <w:pPr>
        <w:pStyle w:val="FirstParagraph"/>
      </w:pPr>
      <w:r>
        <w:rPr>
          <w:lang w:val="es-ES"/>
        </w:rP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rPr>
          <w:lang w:val="es-ES"/>
        </w:rPr>
        <w:t xml:space="preserve">3. Identifica</w:t>
      </w:r>
    </w:p>
    <w:p>
      <w:pPr>
        <w:pStyle w:val="FirstParagraph"/>
      </w:pPr>
      <w:r>
        <w:rPr>
          <w:lang w:val="es-ES"/>
        </w:rP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rPr>
          <w:lang w:val="es-ES"/>
        </w:rPr>
        <w:t xml:space="preserve">4. Números</w:t>
      </w:r>
    </w:p>
    <w:p>
      <w:pPr>
        <w:pStyle w:val="FirstParagraph"/>
      </w:pPr>
      <w:r>
        <w:rPr>
          <w:lang w:val="es-ES"/>
        </w:rPr>
        <w:t xml:space="preserve">Completa: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rPr>
          <w:lang w:val="es-ES"/>
        </w:rP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rPr>
          <w:lang w:val="es-ES"/>
        </w:rPr>
        <w:t xml:space="preserve">6. ¿Qué necesito?</w:t>
      </w:r>
    </w:p>
    <w:p>
      <w:pPr>
        <w:pStyle w:val="FirstParagraph"/>
      </w:pPr>
      <w:r>
        <w:rPr>
          <w:lang w:val="es-ES"/>
        </w:rP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STP activado</w:t>
      </w:r>
    </w:p>
    <w:bookmarkEnd w:id="15"/>
    <w:bookmarkStart w:id="16" w:name="comandos-de-resolución"/>
    <w:p>
      <w:pPr>
        <w:pStyle w:val="Heading2"/>
      </w:pPr>
      <w:r>
        <w:rPr>
          <w:lang w:val="es-ES"/>
        </w:rPr>
        <w:t xml:space="preserve">7. Comandos de resolución</w:t>
      </w:r>
    </w:p>
    <w:p>
      <w:pPr>
        <w:pStyle w:val="FirstParagraph"/>
      </w:pPr>
      <w:r>
        <w:rPr>
          <w:lang w:val="es-ES"/>
        </w:rP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rPr>
          <w:lang w:val="es-ES"/>
        </w:rP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rPr>
          <w:lang w:val="es-ES"/>
        </w:rPr>
        <w:t xml:space="preserve">8. V/F inter-VLAN</w:t>
      </w:r>
    </w:p>
    <w:p>
      <w:pPr>
        <w:pStyle w:val="FirstParagraph"/>
      </w:pPr>
      <w:r>
        <w:rPr>
          <w:lang w:val="es-ES"/>
        </w:rP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router-on-a-stick, cada VLAN necesita su propia subinterfaz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encapsulation dot1Q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Sin el comando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routing</w:t>
      </w:r>
      <w:r>
        <w:rPr>
          <w:lang w:val="es-ES"/>
        </w:rP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2026-09-24T08:23:23Z</dcterms:created>
  <dcterms:modified xsi:type="dcterms:W3CDTF">2026-09-24T08:23:23Z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