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7-inicial"/>
    <w:p>
      <w:pPr>
        <w:pStyle w:val="Heading1"/>
      </w:pPr>
      <w:r>
        <w:rPr>
          <w:lang w:val="es-ES"/>
        </w:rPr>
        <w:t xml:space="preserve">Boletín UD7 — Inicial</w:t>
      </w:r>
    </w:p>
    <w:bookmarkEnd w:id="9"/>
    <w:bookmarkStart w:id="18" w:name="boletín-ud7-inicial-1"/>
    <w:p>
      <w:pPr>
        <w:pStyle w:val="Heading1"/>
      </w:pPr>
      <w:r>
        <w:rPr>
          <w:lang w:val="es-ES"/>
        </w:rPr>
        <w:t xml:space="preserve">📝 Boletín UD7 — Inicial</w:t>
      </w:r>
    </w:p>
    <w:p>
      <w:pPr>
        <w:pStyle w:val="BlockText"/>
      </w:pPr>
      <w:r>
        <w:rPr>
          <w:lang w:val="es-ES"/>
        </w:rP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rPr>
          <w:lang w:val="es-ES"/>
        </w:rPr>
        <w:t xml:space="preserve">1. IGP vs EGP</w:t>
      </w:r>
    </w:p>
    <w:p>
      <w:pPr>
        <w:pStyle w:val="FirstParagraph"/>
      </w:pPr>
      <w:r>
        <w:rPr>
          <w:lang w:val="es-ES"/>
        </w:rP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OSPF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BGP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RIP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EIGRP</w:t>
      </w:r>
    </w:p>
    <w:bookmarkEnd w:id="10"/>
    <w:bookmarkStart w:id="11" w:name="verdadero-o-falso"/>
    <w:p>
      <w:pPr>
        <w:pStyle w:val="Heading2"/>
      </w:pPr>
      <w:r>
        <w:rPr>
          <w:lang w:val="es-ES"/>
        </w:rP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rPr>
          <w:lang w:val="es-ES"/>
        </w:rP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Término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 LSA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 LSDB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 ABR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4. SPF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rPr>
          <w:lang w:val="es-ES"/>
        </w:rPr>
        <w:t xml:space="preserve">4. Coste OSPF</w:t>
      </w:r>
    </w:p>
    <w:p>
      <w:pPr>
        <w:pStyle w:val="FirstParagraph"/>
      </w:pPr>
      <w:r>
        <w:rPr>
          <w:lang w:val="es-ES"/>
        </w:rP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Serial (1.544 Mbps)</w:t>
      </w:r>
    </w:p>
    <w:bookmarkEnd w:id="13"/>
    <w:bookmarkStart w:id="14" w:name="completa"/>
    <w:p>
      <w:pPr>
        <w:pStyle w:val="Heading2"/>
      </w:pPr>
      <w:r>
        <w:rPr>
          <w:lang w:val="es-ES"/>
        </w:rPr>
        <w:t xml:space="preserve">5. Completa</w:t>
      </w:r>
    </w:p>
    <w:p>
      <w:pPr>
        <w:pStyle w:val="FirstParagraph"/>
      </w:pPr>
      <w:r>
        <w:rPr>
          <w:lang w:val="es-ES"/>
        </w:rP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lang w:val="es-ES"/>
        </w:rPr>
        <w:t xml:space="preserve">router ___ 1</w:t>
      </w:r>
      <w:r>
        <w:rPr>
          <w:lang w:val="es-ES"/>
        </w:rPr>
        <w:t xml:space="preserve"> </w:t>
      </w:r>
      <w:r>
        <w:rPr>
          <w:lang w:val="es-ES"/>
        </w:rP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lang w:val="es-ES"/>
        </w:rPr>
        <w:t xml:space="preserve">network 192.168.1.0 0.0.0.255 area ___</w:t>
      </w:r>
      <w:r>
        <w:rPr>
          <w:lang w:val="es-ES"/>
        </w:rPr>
        <w:t xml:space="preserve"> </w:t>
      </w:r>
      <w:r>
        <w:rPr>
          <w:lang w:val="es-ES"/>
        </w:rP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lang w:val="es-ES"/>
        </w:rPr>
        <w:t xml:space="preserve">default-information ___</w:t>
      </w:r>
      <w:r>
        <w:rPr>
          <w:lang w:val="es-ES"/>
        </w:rPr>
        <w:t xml:space="preserve"> </w:t>
      </w:r>
      <w:r>
        <w:rPr>
          <w:lang w:val="es-ES"/>
        </w:rP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lang w:val="es-ES"/>
        </w:rPr>
        <w:t xml:space="preserve">show ip ospf ___</w:t>
      </w:r>
      <w:r>
        <w:rPr>
          <w:lang w:val="es-ES"/>
        </w:rPr>
        <w:t xml:space="preserve"> </w:t>
      </w:r>
      <w:r>
        <w:rPr>
          <w:lang w:val="es-ES"/>
        </w:rPr>
        <w:t xml:space="preserve">(ver vecinos)</w:t>
      </w:r>
    </w:p>
    <w:bookmarkEnd w:id="14"/>
    <w:bookmarkStart w:id="15" w:name="tipos-de-routers"/>
    <w:p>
      <w:pPr>
        <w:pStyle w:val="Heading2"/>
      </w:pPr>
      <w:r>
        <w:rPr>
          <w:lang w:val="es-ES"/>
        </w:rPr>
        <w:t xml:space="preserve">6. Tipos de routers</w:t>
      </w:r>
    </w:p>
    <w:p>
      <w:pPr>
        <w:pStyle w:val="FirstParagraph"/>
      </w:pPr>
      <w:r>
        <w:rPr>
          <w:lang w:val="es-ES"/>
        </w:rP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 ABR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 ASBR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rPr>
          <w:lang w:val="es-ES"/>
        </w:rPr>
        <w:t xml:space="preserve">7. Dinámico vs estático</w:t>
      </w:r>
    </w:p>
    <w:p>
      <w:pPr>
        <w:numPr>
          <w:ilvl w:val="0"/>
          <w:numId w:val="1005"/>
        </w:numPr>
      </w:pPr>
      <w:r>
        <w:rPr>
          <w:lang w:val="es-ES"/>
        </w:rPr>
        <w:t xml:space="preserve">Clasifica cada protocolo como IGP o EGP: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OSPF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RIP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BGP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EIGRP</w:t>
      </w:r>
      <w:r>
        <w:rPr>
          <w:lang w:val="es-ES"/>
        </w:rPr>
        <w:t xml:space="preserve">.</w:t>
      </w:r>
    </w:p>
    <w:p>
      <w:pPr>
        <w:numPr>
          <w:ilvl w:val="0"/>
          <w:numId w:val="1005"/>
        </w:numPr>
      </w:pPr>
      <w:r>
        <w:rPr>
          <w:lang w:val="es-ES"/>
        </w:rPr>
        <w:t xml:space="preserve">Enumera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3 ventajas</w:t>
      </w:r>
      <w:r>
        <w:rPr>
          <w:lang w:val="es-ES"/>
        </w:rPr>
        <w:t xml:space="preserve"> </w:t>
      </w:r>
      <w:r>
        <w:rPr>
          <w:lang w:val="es-ES"/>
        </w:rP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IGP enruta dentro de un AS y EGP entre AS (BGP). 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rPr>
          <w:lang w:val="es-ES"/>
        </w:rPr>
        <w:t xml:space="preserve">8. Coste OSPF: tabla de velocidades</w:t>
      </w:r>
    </w:p>
    <w:p>
      <w:pPr>
        <w:pStyle w:val="FirstParagraph"/>
      </w:pPr>
      <w:r>
        <w:rPr>
          <w:lang w:val="es-ES"/>
        </w:rPr>
        <w:t xml:space="preserve">Completa la tabla con el coste OSPF de cada velocidad usando la fórmula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coste = 10^8 / ancho_de_banda</w:t>
      </w:r>
      <w:r>
        <w:rPr>
          <w:lang w:val="es-ES"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Cálculo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 Mbps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100 Mbps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 Gbps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2026-09-24T08:23:25Z</dcterms:created>
  <dcterms:modified xsi:type="dcterms:W3CDTF">2026-09-24T08:23:25Z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