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inicial"/>
    <w:p>
      <w:pPr>
        <w:pStyle w:val="Heading1"/>
      </w:pPr>
      <w:r>
        <w:t xml:space="preserve">Boletín de Switching y VLAN — Inicial</w:t>
      </w:r>
    </w:p>
    <w:bookmarkEnd w:id="20"/>
    <w:bookmarkStart w:id="29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21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Inunda por todos los puertos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22"/>
    <w:bookmarkStart w:id="23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23"/>
    <w:bookmarkStart w:id="24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Asignar el puerto a la VLAN 10</w:t>
            </w:r>
          </w:p>
        </w:tc>
      </w:tr>
    </w:tbl>
    <w:bookmarkEnd w:id="25"/>
    <w:bookmarkStart w:id="26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26"/>
    <w:bookmarkStart w:id="27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27"/>
    <w:bookmarkStart w:id="28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Forwarding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2026-10-16T08:08:17Z</dcterms:created>
  <dcterms:modified xsi:type="dcterms:W3CDTF">2026-10-16T08:08:17Z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