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inicial"/>
    <w:p>
      <w:pPr>
        <w:pStyle w:val="Heading1"/>
      </w:pPr>
      <w:r>
        <w:t xml:space="preserve">Boletín de Servicios de red — Inicial</w:t>
      </w:r>
    </w:p>
    <w:bookmarkEnd w:id="20"/>
    <w:bookmarkStart w:id="29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f) SOA/NS</w:t>
            </w:r>
          </w:p>
        </w:tc>
      </w:tr>
    </w:tbl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Vaciar la caché DNS</w:t>
            </w:r>
          </w:p>
        </w:tc>
      </w:tr>
    </w:tbl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2026-10-16T08:08:21Z</dcterms:created>
  <dcterms:modified xsi:type="dcterms:W3CDTF">2026-10-16T08:08:21Z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