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ospf-inicial"/>
    <w:p>
      <w:pPr>
        <w:pStyle w:val="Heading1"/>
      </w:pPr>
      <w:r>
        <w:t xml:space="preserve">Boletín de OSPF — Inicial</w:t>
      </w:r>
    </w:p>
    <w:bookmarkEnd w:id="20"/>
    <w:bookmarkStart w:id="29" w:name="boletín-de-ospf-inicial-1"/>
    <w:p>
      <w:pPr>
        <w:pStyle w:val="Heading1"/>
      </w:pPr>
      <w:r>
        <w:t xml:space="preserve">📝 Boletín de OSPF — Inicial</w:t>
      </w:r>
    </w:p>
    <w:p>
      <w:pPr>
        <w:pStyle w:val="BlockText"/>
      </w:pPr>
      <w:r>
        <w:t xml:space="preserve">Ejercicios básicos para afianzar los conceptos de OSPF y routing dinámico.</w:t>
      </w:r>
    </w:p>
    <w:p>
      <w:r>
        <w:pict>
          <v:rect style="width:0;height:1.5pt" o:hralign="center" o:hrstd="t" o:hr="t"/>
        </w:pict>
      </w:r>
    </w:p>
    <w:bookmarkStart w:id="21" w:name="igp-vs-egp"/>
    <w:p>
      <w:pPr>
        <w:pStyle w:val="Heading2"/>
      </w:pPr>
      <w:r>
        <w:t xml:space="preserve">1. IGP vs EGP</w:t>
      </w:r>
    </w:p>
    <w:p>
      <w:pPr>
        <w:pStyle w:val="FirstParagraph"/>
      </w:pPr>
      <w:r>
        <w:t xml:space="preserve">Clasifica cada protocolo como IGP o EGP:</w:t>
      </w:r>
    </w:p>
    <w:p>
      <w:pPr>
        <w:pStyle w:val="Compact"/>
        <w:numPr>
          <w:ilvl w:val="0"/>
          <w:numId w:val="1001"/>
        </w:numPr>
      </w:pPr>
      <w:r>
        <w:t xml:space="preserve">OSPF</w:t>
      </w:r>
    </w:p>
    <w:p>
      <w:pPr>
        <w:pStyle w:val="Compact"/>
        <w:numPr>
          <w:ilvl w:val="0"/>
          <w:numId w:val="1001"/>
        </w:numPr>
      </w:pPr>
      <w:r>
        <w:t xml:space="preserve">BGP</w:t>
      </w:r>
    </w:p>
    <w:p>
      <w:pPr>
        <w:pStyle w:val="Compact"/>
        <w:numPr>
          <w:ilvl w:val="0"/>
          <w:numId w:val="1001"/>
        </w:numPr>
      </w:pPr>
      <w:r>
        <w:t xml:space="preserve">RIP</w:t>
      </w:r>
    </w:p>
    <w:p>
      <w:pPr>
        <w:pStyle w:val="Compact"/>
        <w:numPr>
          <w:ilvl w:val="0"/>
          <w:numId w:val="1001"/>
        </w:numPr>
      </w:pPr>
      <w:r>
        <w:t xml:space="preserve">EIGRP</w:t>
      </w:r>
    </w:p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t xml:space="preserve">OSPF usa el algoritmo de Dijkstra (SPF).</w:t>
      </w:r>
    </w:p>
    <w:p>
      <w:pPr>
        <w:pStyle w:val="Compact"/>
        <w:numPr>
          <w:ilvl w:val="0"/>
          <w:numId w:val="1002"/>
        </w:numPr>
      </w:pPr>
      <w:r>
        <w:t xml:space="preserve">RIP tiene un límite de 15 saltos.</w:t>
      </w:r>
    </w:p>
    <w:p>
      <w:pPr>
        <w:pStyle w:val="Compact"/>
        <w:numPr>
          <w:ilvl w:val="0"/>
          <w:numId w:val="1002"/>
        </w:numPr>
      </w:pPr>
      <w:r>
        <w:t xml:space="preserve">OSPF necesita un área backbone (Área 0).</w:t>
      </w:r>
    </w:p>
    <w:p>
      <w:pPr>
        <w:pStyle w:val="Compact"/>
        <w:numPr>
          <w:ilvl w:val="0"/>
          <w:numId w:val="1002"/>
        </w:numPr>
      </w:pPr>
      <w:r>
        <w:t xml:space="preserve">El Router ID de OSPF debe ser único en la red.</w:t>
      </w:r>
    </w:p>
    <w:p>
      <w:pPr>
        <w:pStyle w:val="Compact"/>
        <w:numPr>
          <w:ilvl w:val="0"/>
          <w:numId w:val="1002"/>
        </w:numPr>
      </w:pPr>
      <w:r>
        <w:t xml:space="preserve">RIP converge más rápido que OSPF.</w:t>
      </w:r>
    </w:p>
    <w:bookmarkEnd w:id="22"/>
    <w:bookmarkStart w:id="23" w:name="relaciona"/>
    <w:p>
      <w:pPr>
        <w:pStyle w:val="Heading2"/>
      </w:pPr>
      <w:r>
        <w:t xml:space="preserve">3. Relaciona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Router que conecta áreas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LSDB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Anuncio de estado de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Base de datos de la topología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Algoritmo de cálculo de rutas</w:t>
            </w:r>
          </w:p>
        </w:tc>
      </w:tr>
    </w:tbl>
    <w:bookmarkEnd w:id="23"/>
    <w:bookmarkStart w:id="24" w:name="coste-ospf"/>
    <w:p>
      <w:pPr>
        <w:pStyle w:val="Heading2"/>
      </w:pPr>
      <w:r>
        <w:t xml:space="preserve">4. Coste OSPF</w:t>
      </w:r>
    </w:p>
    <w:p>
      <w:pPr>
        <w:pStyle w:val="FirstParagraph"/>
      </w:pPr>
      <w:r>
        <w:t xml:space="preserve">Calcula el coste OSPF para estas interfaces:</w:t>
      </w:r>
    </w:p>
    <w:p>
      <w:pPr>
        <w:pStyle w:val="Compact"/>
        <w:numPr>
          <w:ilvl w:val="0"/>
          <w:numId w:val="1003"/>
        </w:numPr>
      </w:pPr>
      <w:r>
        <w:t xml:space="preserve">FastEthernet (100 Mbps)</w:t>
      </w:r>
    </w:p>
    <w:p>
      <w:pPr>
        <w:pStyle w:val="Compact"/>
        <w:numPr>
          <w:ilvl w:val="0"/>
          <w:numId w:val="1003"/>
        </w:numPr>
      </w:pPr>
      <w:r>
        <w:t xml:space="preserve">GigabitEthernet (1 Gbps)</w:t>
      </w:r>
    </w:p>
    <w:p>
      <w:pPr>
        <w:pStyle w:val="Compact"/>
        <w:numPr>
          <w:ilvl w:val="0"/>
          <w:numId w:val="1003"/>
        </w:numPr>
      </w:pPr>
      <w:r>
        <w:t xml:space="preserve">Serial (1.544 Mbps)</w:t>
      </w:r>
    </w:p>
    <w:bookmarkEnd w:id="24"/>
    <w:bookmarkStart w:id="25" w:name="completa"/>
    <w:p>
      <w:pPr>
        <w:pStyle w:val="Heading2"/>
      </w:pPr>
      <w:r>
        <w:t xml:space="preserve">5. Completa</w:t>
      </w:r>
    </w:p>
    <w:p>
      <w:pPr>
        <w:pStyle w:val="FirstParagraph"/>
      </w:pPr>
      <w:r>
        <w:t xml:space="preserve">Completa los comandos OSPF: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___ 1</w:t>
      </w:r>
      <w:r>
        <w:t xml:space="preserve"> </w:t>
      </w:r>
      <w:r>
        <w:t xml:space="preserve">(inicia el proceso OSPF)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___</w:t>
      </w:r>
      <w:r>
        <w:t xml:space="preserve"> </w:t>
      </w:r>
      <w:r>
        <w:t xml:space="preserve">(área backbone)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___</w:t>
      </w:r>
      <w:r>
        <w:t xml:space="preserve"> </w:t>
      </w:r>
      <w:r>
        <w:t xml:space="preserve">(propagar ruta por defecto)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___</w:t>
      </w:r>
      <w:r>
        <w:t xml:space="preserve"> </w:t>
      </w:r>
      <w:r>
        <w:t xml:space="preserve">(ver vecinos)</w:t>
      </w:r>
    </w:p>
    <w:bookmarkEnd w:id="25"/>
    <w:bookmarkStart w:id="26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Relaciona el tipo de router OSPF con su función: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Internal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Introduce rutas externas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Conecta Área 0 con otras áreas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ASBR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Todas sus interfaces en la misma área</w:t>
            </w:r>
          </w:p>
        </w:tc>
      </w:tr>
    </w:tbl>
    <w:bookmarkEnd w:id="26"/>
    <w:bookmarkStart w:id="27" w:name="dinámico-vs-estático"/>
    <w:p>
      <w:pPr>
        <w:pStyle w:val="Heading2"/>
      </w:pPr>
      <w:r>
        <w:t xml:space="preserve">7. Dinámico vs estático</w:t>
      </w:r>
    </w:p>
    <w:p>
      <w:pPr>
        <w:numPr>
          <w:ilvl w:val="0"/>
          <w:numId w:val="1005"/>
        </w:numPr>
      </w:pPr>
      <w:r>
        <w:t xml:space="preserve">Explica qué es la</w:t>
      </w:r>
      <w:r>
        <w:t xml:space="preserve"> </w:t>
      </w:r>
      <w:r>
        <w:rPr>
          <w:b/>
          <w:bCs/>
        </w:rPr>
        <w:t xml:space="preserve">convergencia</w:t>
      </w:r>
      <w:r>
        <w:t xml:space="preserve"> </w:t>
      </w:r>
      <w:r>
        <w:t xml:space="preserve">y por qué el enrutamiento dinámico la consigue solo, mientras que en el estático depende del administrador.</w:t>
      </w:r>
    </w:p>
    <w:p>
      <w:pPr>
        <w:numPr>
          <w:ilvl w:val="0"/>
          <w:numId w:val="1005"/>
        </w:numPr>
      </w:pPr>
      <w:r>
        <w:t xml:space="preserve">Enumera</w:t>
      </w:r>
      <w:r>
        <w:t xml:space="preserve"> </w:t>
      </w:r>
      <w:r>
        <w:rPr>
          <w:b/>
          <w:bCs/>
        </w:rPr>
        <w:t xml:space="preserve">3 ventajas</w:t>
      </w:r>
      <w:r>
        <w:t xml:space="preserve"> </w:t>
      </w:r>
      <w:r>
        <w:t xml:space="preserve">del routing dinámico frente al estático y pon un caso donde convenga usar estático.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Dinámico = autoaprendizaje, convergencia automática y menos error humano; estático = determinista, útil en enlaces stub o redes muy pequeñas.</w:t>
      </w:r>
    </w:p>
    <w:bookmarkEnd w:id="27"/>
    <w:bookmarkStart w:id="28" w:name="coste-ospf-tabla-de-velocidades"/>
    <w:p>
      <w:pPr>
        <w:pStyle w:val="Heading2"/>
      </w:pPr>
      <w:r>
        <w:t xml:space="preserve">8. Coste OSPF: tabla de velocidades</w:t>
      </w:r>
    </w:p>
    <w:p>
      <w:pPr>
        <w:pStyle w:val="FirstParagraph"/>
      </w:pPr>
      <w:r>
        <w:t xml:space="preserve">Completa la tabla con el coste OSPF de cada velocidad usando la fórmula</w:t>
      </w:r>
      <w:r>
        <w:t xml:space="preserve"> </w:t>
      </w:r>
      <w:r>
        <w:rPr>
          <w:rStyle w:val="VerbatimChar"/>
        </w:rPr>
        <w:t xml:space="preserve">coste = 10^8 / ancho_de_banda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10⁹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10⁸ / 1.544.000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coste mínimo es 1: los enlaces a partir de 100 Mbps valen lo mismo por defecto. Los decimales se redondean hacia abajo.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2026-10-16T08:08:25Z</dcterms:created>
  <dcterms:modified xsi:type="dcterms:W3CDTF">2026-10-16T08:08:25Z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