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20"/>
    <w:bookmarkStart w:id="31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21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21"/>
    <w:bookmarkStart w:id="22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</w:t>
      </w:r>
      <w:r>
        <w:t xml:space="preserve">oír</w:t>
      </w:r>
      <w:r>
        <w:t xml:space="preserve">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22"/>
    <w:bookmarkStart w:id="23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23"/>
    <w:bookmarkStart w:id="24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</w:t>
      </w:r>
      <w:r>
        <w:t xml:space="preserve">oculto</w:t>
      </w:r>
      <w:r>
        <w:t xml:space="preserve">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24"/>
    <w:bookmarkStart w:id="25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</w:t>
      </w:r>
      <w:r>
        <w:t xml:space="preserve">seguridad de cortesía</w:t>
      </w:r>
      <w:r>
        <w:t xml:space="preserve">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25"/>
    <w:bookmarkStart w:id="26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</w:t>
      </w:r>
      <w:r>
        <w:t xml:space="preserve">se casa</w:t>
      </w:r>
      <w:r>
        <w:t xml:space="preserve">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26"/>
    <w:bookmarkStart w:id="27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27"/>
    <w:bookmarkStart w:id="28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28"/>
    <w:bookmarkStart w:id="29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29"/>
    <w:bookmarkStart w:id="30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</w:t>
      </w:r>
      <w:r>
        <w:t xml:space="preserve">entrega local por MAC hecha</w:t>
      </w:r>
      <w:r>
        <w:t xml:space="preserve">”</w:t>
      </w:r>
      <w:r>
        <w:t xml:space="preserve">. El estándar 802.x es un detalle de la capa 1–2: la pila de Internet no cambia si el tramo fue cobre, fibra o aire.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2026-10-16T08:08:27Z</dcterms:created>
  <dcterms:modified xsi:type="dcterms:W3CDTF">2026-10-16T08:08:27Z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