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redes-inalámbricas-inicial"/>
    <w:p>
      <w:pPr>
        <w:pStyle w:val="Heading1"/>
      </w:pPr>
      <w:r>
        <w:t xml:space="preserve">Boletín de Redes inalámbricas — Inicial</w:t>
      </w:r>
    </w:p>
    <w:bookmarkEnd w:id="20"/>
    <w:bookmarkStart w:id="30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21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21"/>
    <w:bookmarkStart w:id="22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23"/>
    <w:bookmarkStart w:id="24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24"/>
    <w:bookmarkStart w:id="25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nombre comercial con su estándar IEEE: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WiFi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WiFi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WiFi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WiFi 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WiFi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e) 802.11ax en 6 GHz</w:t>
            </w:r>
          </w:p>
        </w:tc>
      </w:tr>
    </w:tbl>
    <w:bookmarkEnd w:id="25"/>
    <w:bookmarkStart w:id="26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</w:t>
      </w:r>
      <w:r>
        <w:t xml:space="preserve">cliente travieso</w:t>
      </w:r>
      <w:r>
        <w:t xml:space="preserve">”</w:t>
      </w:r>
      <w:r>
        <w:t xml:space="preserve"> </w:t>
      </w:r>
      <w:r>
        <w:t xml:space="preserve">(hidden node) y cómo se manifiesta?</w:t>
      </w:r>
    </w:p>
    <w:bookmarkEnd w:id="26"/>
    <w:bookmarkStart w:id="27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27"/>
    <w:bookmarkStart w:id="28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28"/>
    <w:bookmarkStart w:id="29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2026-10-16T08:08:27Z</dcterms:created>
  <dcterms:modified xsi:type="dcterms:W3CDTF">2026-10-16T08:08:27Z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