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inicial"/>
    <w:p>
      <w:pPr>
        <w:pStyle w:val="Heading1"/>
      </w:pPr>
      <w:r>
        <w:t xml:space="preserve">Boletín de Alta disponibilidad — Inicial</w:t>
      </w:r>
    </w:p>
    <w:bookmarkEnd w:id="20"/>
    <w:bookmarkStart w:id="29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Recuperar el rol activo al volver</w:t>
            </w:r>
          </w:p>
        </w:tc>
      </w:tr>
    </w:tbl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</w:t>
      </w:r>
      <w:r>
        <w:t xml:space="preserve">dueño</w:t>
      </w:r>
      <w:r>
        <w:t xml:space="preserve">”</w:t>
      </w:r>
      <w:r>
        <w:t xml:space="preserve"> </w:t>
      </w:r>
      <w:r>
        <w:t xml:space="preserve">de la IP virtual y cómo se llama ahí?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</w:t>
      </w:r>
      <w:r>
        <w:t xml:space="preserve">más allá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2026-10-16T08:08:28Z</dcterms:created>
  <dcterms:modified xsi:type="dcterms:W3CDTF">2026-10-16T08:08:28Z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