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trunking-e-inter-vlan-inicial"/>
    <w:p>
      <w:pPr>
        <w:pStyle w:val="Heading1"/>
      </w:pPr>
      <w:r>
        <w:t xml:space="preserve">Boletín de Trunking e inter-VLAN — Inicial</w:t>
      </w:r>
    </w:p>
    <w:bookmarkEnd w:id="20"/>
    <w:bookmarkStart w:id="29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21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Sin etiquetar en el trunk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22"/>
    <w:bookmarkStart w:id="23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23"/>
    <w:bookmarkStart w:id="24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24"/>
    <w:bookmarkStart w:id="25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Configurar subinterfaz para VLAN 10</w:t>
            </w:r>
          </w:p>
        </w:tc>
      </w:tr>
    </w:tbl>
    <w:bookmarkEnd w:id="25"/>
    <w:bookmarkStart w:id="26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26"/>
    <w:bookmarkStart w:id="27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27"/>
    <w:bookmarkStart w:id="28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2026-10-13T08:32:49Z</dcterms:created>
  <dcterms:modified xsi:type="dcterms:W3CDTF">2026-10-13T08:32:49Z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