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inicial"/>
    <w:p>
      <w:pPr>
        <w:pStyle w:val="Heading1"/>
      </w:pPr>
      <w:r>
        <w:t xml:space="preserve">Boletín de Servicios de red — Inicial</w:t>
      </w:r>
    </w:p>
    <w:bookmarkEnd w:id="20"/>
    <w:bookmarkStart w:id="29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f) SOA/NS</w:t>
            </w:r>
          </w:p>
        </w:tc>
      </w:tr>
    </w:tbl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Vaciar la caché DNS</w:t>
            </w:r>
          </w:p>
        </w:tc>
      </w:tr>
    </w:tbl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